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TOURS PANASUR E.I.R.L.</w:t>
      </w:r>
    </w:p>
    <w:p>
      <w:pPr>
        <w:jc w:val="center"/>
      </w:pPr>
      <w:r>
        <w:rPr>
          <w:b/>
          <w:color w:val="1A6B4E"/>
          <w:sz w:val="24"/>
        </w:rPr>
        <w:t>SISTEMA INTEGRADO DE GESTIÓN</w:t>
      </w:r>
    </w:p>
    <w:p>
      <w:pPr>
        <w:jc w:val="center"/>
      </w:pPr>
      <w:r>
        <w:rPr>
          <w:b/>
          <w:sz w:val="32"/>
        </w:rPr>
        <w:t>Matriz IPERC Línea 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Código:</w:t>
            </w:r>
          </w:p>
        </w:tc>
        <w:tc>
          <w:tcPr>
            <w:tcW w:type="dxa" w:w="2160"/>
          </w:tcPr>
          <w:p>
            <w:r>
              <w:t>TP-MAT-SST-001</w:t>
            </w:r>
          </w:p>
        </w:tc>
        <w:tc>
          <w:tcPr>
            <w:tcW w:type="dxa" w:w="2160"/>
          </w:tcPr>
          <w:p>
            <w:r>
              <w:t>Versión: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Área:</w:t>
            </w:r>
          </w:p>
        </w:tc>
        <w:tc>
          <w:tcPr>
            <w:tcW w:type="dxa" w:w="2160"/>
          </w:tcPr>
          <w:p>
            <w:r>
              <w:t>SST</w:t>
            </w:r>
          </w:p>
        </w:tc>
        <w:tc>
          <w:tcPr>
            <w:tcW w:type="dxa" w:w="2160"/>
          </w:tcPr>
          <w:p>
            <w:r>
              <w:t>Fecha:</w:t>
            </w:r>
          </w:p>
        </w:tc>
        <w:tc>
          <w:tcPr>
            <w:tcW w:type="dxa" w:w="2160"/>
          </w:tcPr>
          <w:p>
            <w:r>
              <w:t>2026-04-03</w:t>
            </w:r>
          </w:p>
        </w:tc>
      </w:tr>
      <w:tr>
        <w:tc>
          <w:tcPr>
            <w:tcW w:type="dxa" w:w="2160"/>
          </w:tcPr>
          <w:p>
            <w:r>
              <w:t>Elaborado:</w:t>
            </w:r>
          </w:p>
        </w:tc>
        <w:tc>
          <w:tcPr>
            <w:tcW w:type="dxa" w:w="2160"/>
          </w:tcPr>
          <w:p>
            <w:r>
              <w:t>INNOVAQ SOLUTIONS</w:t>
            </w:r>
          </w:p>
        </w:tc>
        <w:tc>
          <w:tcPr>
            <w:tcW w:type="dxa" w:w="2160"/>
          </w:tcPr>
          <w:p>
            <w:r>
              <w:t>Revisado:</w:t>
            </w:r>
          </w:p>
        </w:tc>
        <w:tc>
          <w:tcPr>
            <w:tcW w:type="dxa" w:w="2160"/>
          </w:tcPr>
          <w:p>
            <w:r>
              <w:t>Supervisor SST</w:t>
            </w:r>
          </w:p>
        </w:tc>
      </w:tr>
      <w:tr>
        <w:tc>
          <w:tcPr>
            <w:tcW w:type="dxa" w:w="2160"/>
          </w:tcPr>
          <w:p>
            <w:r>
              <w:t>Aprobado:</w:t>
            </w:r>
          </w:p>
        </w:tc>
        <w:tc>
          <w:tcPr>
            <w:tcW w:type="dxa" w:w="2160"/>
          </w:tcPr>
          <w:p>
            <w:r>
              <w:t>Gerente General</w:t>
            </w:r>
          </w:p>
        </w:tc>
        <w:tc>
          <w:tcPr>
            <w:tcW w:type="dxa" w:w="2160"/>
          </w:tcPr>
          <w:p>
            <w:r>
              <w:t>Páginas:</w:t>
            </w:r>
          </w:p>
        </w:tc>
        <w:tc>
          <w:tcPr>
            <w:tcW w:type="dxa" w:w="2160"/>
          </w:tcPr>
          <w:p>
            <w:r>
              <w:t>1 de 7</w:t>
            </w:r>
          </w:p>
        </w:tc>
      </w:tr>
    </w:tbl>
    <w:p/>
    <w:p>
      <w:pPr>
        <w:pStyle w:val="Heading2"/>
      </w:pPr>
      <w:r>
        <w:t>1. Objetivo</w:t>
      </w:r>
    </w:p>
    <w:p>
      <w:r>
        <w:t>Identificar los peligros, evaluar los riesgos y determinar los controles necesarios para todas las actividades rutinarias y no rutinarias de Tours Panasur E.I.R.L. en el proyecto CSF Hanaqpampa.</w:t>
      </w:r>
    </w:p>
    <w:p>
      <w:pPr>
        <w:pStyle w:val="Heading2"/>
      </w:pPr>
      <w:r>
        <w:t>2. Alcance</w:t>
      </w:r>
    </w:p>
    <w:p>
      <w:r>
        <w:t>Aplica a todas las operaciones de transporte de carga, obras civiles, montaje electromecánico y actividades de soporte del proyecto de Central Solar Fotovoltaica.</w:t>
      </w:r>
    </w:p>
    <w:p>
      <w:pPr>
        <w:pStyle w:val="Heading2"/>
      </w:pPr>
      <w:r>
        <w:t>3. Metodología</w:t>
      </w:r>
    </w:p>
    <w:p>
      <w:r>
        <w:t>Se utiliza la metodología de evaluación de riesgos según la Ley 29783 y su reglamento DS 005-2012-TR, con la siguiente escala:</w:t>
      </w:r>
    </w:p>
    <w:p>
      <w:r>
        <w:t>- Probabilidad: Personas expuestas × Procedimientos × Capacitación × Exposición al riesgo</w:t>
      </w:r>
    </w:p>
    <w:p>
      <w:r>
        <w:t>- Severidad: Catastrófico (50), Mayor (25), Moderado (15), Menor (5), Mínimo (1)</w:t>
      </w:r>
    </w:p>
    <w:p>
      <w:r>
        <w:t>- Nivel de Riesgo = Probabilidad × Severidad</w:t>
      </w:r>
    </w:p>
    <w:p>
      <w:r>
        <w:t>- Clasificación: Intolerable (&gt;600), Importante (200-600), Moderado (60-200), Tolerable (20-60), Trivial (&lt;20)</w:t>
      </w:r>
    </w:p>
    <w:p>
      <w:pPr>
        <w:pStyle w:val="Heading2"/>
      </w:pPr>
      <w:r>
        <w:t>4. Matriz IPERC — Transporte de Carga</w:t>
      </w:r>
    </w:p>
    <w:p>
      <w:r>
        <w:t>[Completar con datos reales del proyecto]</w:t>
      </w:r>
    </w:p>
    <w:p/>
    <w:p>
      <w:r>
        <w:t>Actividad | Peligro | Riesgo | P | S | NR | Clasificación | Control</w:t>
      </w:r>
    </w:p>
    <w:p>
      <w:r>
        <w:t>Conducción de volquete | Volcadura | Muerte/Lesiones graves | - | - | - | - | -</w:t>
      </w:r>
    </w:p>
    <w:p>
      <w:r>
        <w:t>Carga/descarga | Caída de objetos | Aplastamiento | - | - | - | - | -</w:t>
      </w:r>
    </w:p>
    <w:p>
      <w:r>
        <w:t>Tránsito en vía | Colisión | Muerte/Lesiones | - | - | - | - | -</w:t>
      </w:r>
    </w:p>
    <w:p>
      <w:pPr>
        <w:pStyle w:val="Heading2"/>
      </w:pPr>
      <w:r>
        <w:t>5. Matriz IPERC — Obras Civiles</w:t>
      </w:r>
    </w:p>
    <w:p>
      <w:r>
        <w:t>[Completar con datos reales del proyecto]</w:t>
      </w:r>
    </w:p>
    <w:p/>
    <w:p>
      <w:r>
        <w:t>Actividad | Peligro | Riesgo | P | S | NR | Clasificación | Control</w:t>
      </w:r>
    </w:p>
    <w:p>
      <w:r>
        <w:t>Excavación | Derrumbe | Sepultamiento | - | - | - | - | -</w:t>
      </w:r>
    </w:p>
    <w:p>
      <w:r>
        <w:t>Trabajo en altura | Caída | Muerte/Fractura | - | - | - | - | -</w:t>
      </w:r>
    </w:p>
    <w:p>
      <w:r>
        <w:t>Izaje de cargas | Caída de carga | Aplastamiento | - | - | - | - | -</w:t>
      </w:r>
    </w:p>
    <w:p>
      <w:pPr>
        <w:pStyle w:val="Heading2"/>
      </w:pPr>
      <w:r>
        <w:t>6. Aprobación y Revisión</w:t>
      </w:r>
    </w:p>
    <w:p>
      <w:r>
        <w:t>Esta matriz debe ser revisada:</w:t>
      </w:r>
    </w:p>
    <w:p>
      <w:r>
        <w:t>- Cuando ocurra un incidente o accidente</w:t>
      </w:r>
    </w:p>
    <w:p>
      <w:r>
        <w:t>- Cuando cambien las condiciones de trabajo</w:t>
      </w:r>
    </w:p>
    <w:p>
      <w:r>
        <w:t>- Cuando se introduzca nueva maquinaria o proceso</w:t>
      </w:r>
    </w:p>
    <w:p>
      <w:r>
        <w:t>- Al menos una vez al año</w:t>
      </w:r>
    </w:p>
    <w:p/>
    <w:p>
      <w:pPr>
        <w:jc w:val="center"/>
      </w:pPr>
      <w:r>
        <w:rPr>
          <w:i/>
          <w:color w:val="94A3B8"/>
          <w:sz w:val="16"/>
        </w:rPr>
        <w:t>Documento controlado — SIG 360° Tours Panasur E.I.R.L.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