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TOURS PANASUR E.I.R.L.</w:t>
      </w:r>
    </w:p>
    <w:p>
      <w:pPr>
        <w:jc w:val="center"/>
      </w:pPr>
      <w:r>
        <w:rPr>
          <w:b/>
          <w:color w:val="1A6B4E"/>
          <w:sz w:val="24"/>
        </w:rPr>
        <w:t>SISTEMA INTEGRADO DE GESTIÓN</w:t>
      </w:r>
    </w:p>
    <w:p>
      <w:pPr>
        <w:jc w:val="center"/>
      </w:pPr>
      <w:r>
        <w:rPr>
          <w:b/>
          <w:sz w:val="32"/>
        </w:rPr>
        <w:t>Matriz IPERC Continuo — Operaciones Específicas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Código:</w:t>
            </w:r>
          </w:p>
        </w:tc>
        <w:tc>
          <w:tcPr>
            <w:tcW w:type="dxa" w:w="2160"/>
          </w:tcPr>
          <w:p>
            <w:r>
              <w:t>TP-MAT-SST-002</w:t>
            </w:r>
          </w:p>
        </w:tc>
        <w:tc>
          <w:tcPr>
            <w:tcW w:type="dxa" w:w="2160"/>
          </w:tcPr>
          <w:p>
            <w:r>
              <w:t>Versión: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Área:</w:t>
            </w:r>
          </w:p>
        </w:tc>
        <w:tc>
          <w:tcPr>
            <w:tcW w:type="dxa" w:w="2160"/>
          </w:tcPr>
          <w:p>
            <w:r>
              <w:t>SST</w:t>
            </w:r>
          </w:p>
        </w:tc>
        <w:tc>
          <w:tcPr>
            <w:tcW w:type="dxa" w:w="2160"/>
          </w:tcPr>
          <w:p>
            <w:r>
              <w:t>Fecha: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</w:tr>
      <w:tr>
        <w:tc>
          <w:tcPr>
            <w:tcW w:type="dxa" w:w="2160"/>
          </w:tcPr>
          <w:p>
            <w:r>
              <w:t>Elaborado:</w:t>
            </w:r>
          </w:p>
        </w:tc>
        <w:tc>
          <w:tcPr>
            <w:tcW w:type="dxa" w:w="2160"/>
          </w:tcPr>
          <w:p>
            <w:r>
              <w:t>INNOVAQ SOLUTIONS</w:t>
            </w:r>
          </w:p>
        </w:tc>
        <w:tc>
          <w:tcPr>
            <w:tcW w:type="dxa" w:w="2160"/>
          </w:tcPr>
          <w:p>
            <w:r>
              <w:t>Revisado:</w:t>
            </w:r>
          </w:p>
        </w:tc>
        <w:tc>
          <w:tcPr>
            <w:tcW w:type="dxa" w:w="2160"/>
          </w:tcPr>
          <w:p>
            <w:r>
              <w:t>Supervisor SST</w:t>
            </w:r>
          </w:p>
        </w:tc>
      </w:tr>
      <w:tr>
        <w:tc>
          <w:tcPr>
            <w:tcW w:type="dxa" w:w="2160"/>
          </w:tcPr>
          <w:p>
            <w:r>
              <w:t>Aprobado:</w:t>
            </w:r>
          </w:p>
        </w:tc>
        <w:tc>
          <w:tcPr>
            <w:tcW w:type="dxa" w:w="2160"/>
          </w:tcPr>
          <w:p>
            <w:r>
              <w:t>Gerente General</w:t>
            </w:r>
          </w:p>
        </w:tc>
        <w:tc>
          <w:tcPr>
            <w:tcW w:type="dxa" w:w="2160"/>
          </w:tcPr>
          <w:p>
            <w:r>
              <w:t>Páginas:</w:t>
            </w:r>
          </w:p>
        </w:tc>
        <w:tc>
          <w:tcPr>
            <w:tcW w:type="dxa" w:w="2160"/>
          </w:tcPr>
          <w:p>
            <w:r>
              <w:t>1 de 6</w:t>
            </w:r>
          </w:p>
        </w:tc>
      </w:tr>
    </w:tbl>
    <w:p/>
    <w:p>
      <w:pPr>
        <w:pStyle w:val="Heading2"/>
      </w:pPr>
      <w:r>
        <w:t>1. Objetivo</w:t>
      </w:r>
    </w:p>
    <w:p>
      <w:r>
        <w:t>Establecer la evaluación continua de riesgos para las operaciones específicas de Tours Panasur en sus distintas sedes y proyectos.</w:t>
      </w:r>
    </w:p>
    <w:p>
      <w:pPr>
        <w:pStyle w:val="Heading2"/>
      </w:pPr>
      <w:r>
        <w:t>2. Alcance</w:t>
      </w:r>
    </w:p>
    <w:p>
      <w:r>
        <w:t>Aplica a todas las actividades operativas que requieran una evaluación dinámica de riesgos según las condiciones cambiantes del entorno de trabajo.</w:t>
      </w:r>
    </w:p>
    <w:p>
      <w:pPr>
        <w:pStyle w:val="Heading2"/>
      </w:pPr>
      <w:r>
        <w:t>3. Metodología IPERC Continuo</w:t>
      </w:r>
    </w:p>
    <w:p>
      <w:r>
        <w:t>Se realiza diariamente antes del inicio de cada actividad mediante:</w:t>
      </w:r>
    </w:p>
    <w:p>
      <w:r>
        <w:t>- Reunión de 5 minutos de seguridad</w:t>
      </w:r>
    </w:p>
    <w:p>
      <w:r>
        <w:t>- Identificación visual de peligros en el área</w:t>
      </w:r>
    </w:p>
    <w:p>
      <w:r>
        <w:t>- Evaluación de condiciones climáticas y de terreno</w:t>
      </w:r>
    </w:p>
    <w:p>
      <w:r>
        <w:t>- Verificación de EPP y herramientas</w:t>
      </w:r>
    </w:p>
    <w:p>
      <w:r>
        <w:t>- Registro en formato TP-FOR-SST-001</w:t>
      </w:r>
    </w:p>
    <w:p>
      <w:pPr>
        <w:pStyle w:val="Heading2"/>
      </w:pPr>
      <w:r>
        <w:t>4. Formato de Registro Diario</w:t>
      </w:r>
    </w:p>
    <w:p>
      <w:r>
        <w:t>[Completar con datos reales]</w:t>
      </w:r>
    </w:p>
    <w:p/>
    <w:p>
      <w:r>
        <w:t>Fecha | Área | Actividad | Peligros identificados | Controles aplicados | Responsable</w:t>
      </w:r>
    </w:p>
    <w:p>
      <w:pPr>
        <w:pStyle w:val="Heading2"/>
      </w:pPr>
      <w:r>
        <w:t>5. Criterios de Escalamiento</w:t>
      </w:r>
    </w:p>
    <w:p>
      <w:r>
        <w:t>Si se identifica un riesgo INTOLERABLE, se debe:</w:t>
      </w:r>
    </w:p>
    <w:p>
      <w:r>
        <w:t>1. Paralizar la actividad inmediatamente</w:t>
      </w:r>
    </w:p>
    <w:p>
      <w:r>
        <w:t>2. Notificar al Supervisor SST</w:t>
      </w:r>
    </w:p>
    <w:p>
      <w:r>
        <w:t>3. Implementar controles adicionales</w:t>
      </w:r>
    </w:p>
    <w:p>
      <w:r>
        <w:t>4. Obtener autorización para reanudar</w:t>
      </w:r>
    </w:p>
    <w:p>
      <w:r>
        <w:t>5. Registrar en TP-FOR-SST-002 (Reporte de Incidentes)</w:t>
      </w:r>
    </w:p>
    <w:p/>
    <w:p>
      <w:pPr>
        <w:jc w:val="center"/>
      </w:pPr>
      <w:r>
        <w:rPr>
          <w:i/>
          <w:color w:val="94A3B8"/>
          <w:sz w:val="16"/>
        </w:rPr>
        <w:t>Documento controlado — SIG 360° Tours Panasur E.I.R.L.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