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Aptos Display" w:hAnsi="Aptos Display"/>
          <w:b/>
          <w:color w:val="000000"/>
          <w:sz w:val="46"/>
        </w:rPr>
        <w:t>Relatório de Atualização do Redesign do CRM</w:t>
      </w:r>
    </w:p>
    <w:p>
      <w:pPr>
        <w:spacing w:after="280"/>
      </w:pPr>
      <w:r>
        <w:rPr>
          <w:rFonts w:ascii="Aptos" w:hAnsi="Aptos"/>
          <w:b w:val="0"/>
          <w:color w:val="5B6575"/>
          <w:sz w:val="24"/>
        </w:rPr>
        <w:t>Mudanças realizadas desde o último relatório</w:t>
      </w:r>
    </w:p>
    <w:p>
      <w:pPr>
        <w:spacing w:after="120" w:line="269" w:lineRule="auto"/>
      </w:pPr>
      <w:r>
        <w:rPr>
          <w:rFonts w:ascii="Aptos" w:hAnsi="Aptos"/>
          <w:b w:val="0"/>
          <w:color w:val="1F2937"/>
          <w:sz w:val="21"/>
        </w:rPr>
        <w:t>Este documento registra a evolução do redesign desde o relatório emitido em 08/09/2026. Seu objetivo é permitir que a pessoa avaliadora entenda o que mudou, valide o comportamento atual e escolha a próxima frente de trabalho antes da abertura ou atualização da PR.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0"/>
        </w:rPr>
        <w:t>Resumo executivo</w:t>
      </w:r>
    </w:p>
    <w:p>
      <w:pPr>
        <w:spacing w:after="120" w:line="269" w:lineRule="auto"/>
      </w:pPr>
      <w:r>
        <w:rPr>
          <w:rFonts w:ascii="Aptos" w:hAnsi="Aptos"/>
          <w:b w:val="0"/>
          <w:color w:val="1F2937"/>
          <w:sz w:val="21"/>
        </w:rPr>
        <w:t>Desde o último relatório, a revisão visual chegou à conclusão dos itens 4.18, 4.19 e 4.20 do roadmap: responsividade, acessibilidade básica e revisão final de consistência. Também foi refinada a aba Itens, especialmente o padrão de edição campo a campo e a hierarquia dos valores do item.</w:t>
      </w:r>
    </w:p>
    <w:p>
      <w:pPr>
        <w:spacing w:after="120" w:line="269" w:lineRule="auto"/>
      </w:pPr>
      <w:r>
        <w:rPr>
          <w:rFonts w:ascii="Aptos" w:hAnsi="Aptos"/>
          <w:b w:val="0"/>
          <w:color w:val="1F2937"/>
          <w:sz w:val="21"/>
        </w:rPr>
        <w:t>O estado atual está commitado apenas localmente. A main não foi alterada, não houve push dos últimos commits e a PR ainda não foi submetida para estas alterações.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0"/>
        </w:rPr>
        <w:t>Estado atual da entrega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984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 atual</w:t>
            </w:r>
          </w:p>
        </w:tc>
      </w:tr>
      <w:tr>
        <w:tc>
          <w:tcPr>
            <w:tcW w:type="dxa" w:w="3240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Branch do CRM fonte</w:t>
            </w:r>
          </w:p>
        </w:tc>
        <w:tc>
          <w:tcPr>
            <w:tcW w:type="dxa" w:w="6984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codex/crm-layout-redesign</w:t>
            </w:r>
          </w:p>
        </w:tc>
      </w:tr>
      <w:tr>
        <w:tc>
          <w:tcPr>
            <w:tcW w:type="dxa" w:w="3240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Commit do CRM fonte</w:t>
            </w:r>
          </w:p>
        </w:tc>
        <w:tc>
          <w:tcPr>
            <w:tcW w:type="dxa" w:w="6984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d482ba3 - Aprimora leitura e edição dos itens</w:t>
            </w:r>
          </w:p>
        </w:tc>
      </w:tr>
      <w:tr>
        <w:tc>
          <w:tcPr>
            <w:tcW w:type="dxa" w:w="3240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Branch do repositório principal</w:t>
            </w:r>
          </w:p>
        </w:tc>
        <w:tc>
          <w:tcPr>
            <w:tcW w:type="dxa" w:w="6984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codex/crm-design-system-layout</w:t>
            </w:r>
          </w:p>
        </w:tc>
      </w:tr>
      <w:tr>
        <w:tc>
          <w:tcPr>
            <w:tcW w:type="dxa" w:w="3240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Commit do repositório principal</w:t>
            </w:r>
          </w:p>
        </w:tc>
        <w:tc>
          <w:tcPr>
            <w:tcW w:type="dxa" w:w="6984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dd0f01c - Registra refinamento da aba Itens</w:t>
            </w:r>
          </w:p>
        </w:tc>
      </w:tr>
      <w:tr>
        <w:tc>
          <w:tcPr>
            <w:tcW w:type="dxa" w:w="3240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Preview</w:t>
            </w:r>
          </w:p>
        </w:tc>
        <w:tc>
          <w:tcPr>
            <w:tcW w:type="dxa" w:w="6984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http://127.0.0.1:8081/crm/editais/notice-1?preview=1</w:t>
            </w:r>
          </w:p>
        </w:tc>
      </w:tr>
      <w:tr>
        <w:tc>
          <w:tcPr>
            <w:tcW w:type="dxa" w:w="3240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GitHub</w:t>
            </w:r>
          </w:p>
        </w:tc>
        <w:tc>
          <w:tcPr>
            <w:tcW w:type="dxa" w:w="6984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Sem push dos commits atuais; PR preservada para etapa posterior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0"/>
        </w:rPr>
        <w:t>Mudanças desde o último relatório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5256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 que foi feito</w:t>
            </w:r>
          </w:p>
        </w:tc>
        <w:tc>
          <w:tcPr>
            <w:tcW w:type="dxa" w:w="3312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Como validar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Responsividade</w:t>
            </w:r>
          </w:p>
        </w:tc>
        <w:tc>
          <w:tcPr>
            <w:tcW w:type="dxa" w:w="5256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Pipeline, Calendário, popup, filtros e detalhe do edital foram ajustados para reduzir compressão e preservar dados em telas menores.</w:t>
            </w:r>
          </w:p>
        </w:tc>
        <w:tc>
          <w:tcPr>
            <w:tcW w:type="dxa" w:w="3312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Testar larguras menores e verificar se textos, ações e cards continuam legíveis.</w:t>
            </w:r>
          </w:p>
        </w:tc>
      </w:tr>
      <w:tr>
        <w:tc>
          <w:tcPr>
            <w:tcW w:type="dxa" w:w="1656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Acessibilidade</w:t>
            </w:r>
          </w:p>
        </w:tc>
        <w:tc>
          <w:tcPr>
            <w:tcW w:type="dxa" w:w="5256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Foco, rótulos de controles, navegação por teclado, aria-labels e tooltips foram revisados nas telas principais.</w:t>
            </w:r>
          </w:p>
        </w:tc>
        <w:tc>
          <w:tcPr>
            <w:tcW w:type="dxa" w:w="3312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Percorrer as abas e ações usando teclado e conferir foco visível.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Revisão final</w:t>
            </w:r>
          </w:p>
        </w:tc>
        <w:tc>
          <w:tcPr>
            <w:tcW w:type="dxa" w:w="5256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Pipeline, Calendário, detalhe e popup foram comparados nos modos claro e escuro; build e tipos foram validados.</w:t>
            </w:r>
          </w:p>
        </w:tc>
        <w:tc>
          <w:tcPr>
            <w:tcW w:type="dxa" w:w="3312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Comparar as telas lado a lado e observar exceções visuais.</w:t>
            </w:r>
          </w:p>
        </w:tc>
      </w:tr>
      <w:tr>
        <w:tc>
          <w:tcPr>
            <w:tcW w:type="dxa" w:w="1656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Itens compostos</w:t>
            </w:r>
          </w:p>
        </w:tc>
        <w:tc>
          <w:tcPr>
            <w:tcW w:type="dxa" w:w="5256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Produtos vinculados ao mesmo item são tratados como um Kit, mantendo item original, quantidade original e valores somados.</w:t>
            </w:r>
          </w:p>
        </w:tc>
        <w:tc>
          <w:tcPr>
            <w:tcW w:type="dxa" w:w="3312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Conferir item com dois produtos na aba Itens e na tabela de disputa.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Cards do pipeline</w:t>
            </w:r>
          </w:p>
        </w:tc>
        <w:tc>
          <w:tcPr>
            <w:tcW w:type="dxa" w:w="5256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Resumo mostra itens mais relevantes, quantidade, referência unitária, total, Kit e checagens operacionais.</w:t>
            </w:r>
          </w:p>
        </w:tc>
        <w:tc>
          <w:tcPr>
            <w:tcW w:type="dxa" w:w="3312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Conferir itens de maior valor e estados de Documentação, Técnica, Proposta e Habilitação.</w:t>
            </w:r>
          </w:p>
        </w:tc>
      </w:tr>
      <w:tr>
        <w:tc>
          <w:tcPr>
            <w:tcW w:type="dxa" w:w="1656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Prioridade</w:t>
            </w:r>
          </w:p>
        </w:tc>
        <w:tc>
          <w:tcPr>
            <w:tcW w:type="dxa" w:w="5256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Estrelas podem ser definidas ou redefinidas no card e dentro do edital.</w:t>
            </w:r>
          </w:p>
        </w:tc>
        <w:tc>
          <w:tcPr>
            <w:tcW w:type="dxa" w:w="3312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Alterar prioridade nos dois contextos e validar a mesma leitura visual.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0"/>
        </w:rPr>
        <w:t>Aba Itens e padrão de edição</w:t>
      </w:r>
    </w:p>
    <w:p>
      <w:pPr>
        <w:spacing w:after="120" w:line="269" w:lineRule="auto"/>
      </w:pPr>
      <w:r>
        <w:rPr>
          <w:rFonts w:ascii="Aptos" w:hAnsi="Aptos"/>
          <w:b w:val="0"/>
          <w:color w:val="1F2937"/>
          <w:sz w:val="21"/>
        </w:rPr>
        <w:t>A aba Itens passou a reutilizar o mesmo componente de edição contextual da aba Informações. Os campos ficam em leitura por padrão e o ícone de edição aparece no hover ou no foco. Ao entrar em edição, o usuário altera somente o campo selecionado e conclui no botão de confirmação.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7992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Decisão visual atual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Resumo do item</w:t>
            </w:r>
          </w:p>
        </w:tc>
        <w:tc>
          <w:tcPr>
            <w:tcW w:type="dxa" w:w="7992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Quantidade, preço de referência, preço LPU e mínimo unitário ficam no resumo superior, em uma grade que se adapta à largura disponível.</w:t>
            </w:r>
          </w:p>
        </w:tc>
      </w:tr>
      <w:tr>
        <w:tc>
          <w:tcPr>
            <w:tcW w:type="dxa" w:w="2232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Dados editáveis</w:t>
            </w:r>
          </w:p>
        </w:tc>
        <w:tc>
          <w:tcPr>
            <w:tcW w:type="dxa" w:w="7992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Número, descrição, lote, código, categoria, garantia, prazo, quantidade e preço de referência usam edição campo a campo.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Análise técnica</w:t>
            </w:r>
          </w:p>
        </w:tc>
        <w:tc>
          <w:tcPr>
            <w:tcW w:type="dxa" w:w="7992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Características técnicas, risco e direcionamento aparecem somente quando há conteúdo; campos vazios podem ser adicionados por ação discreta.</w:t>
            </w:r>
          </w:p>
        </w:tc>
      </w:tr>
      <w:tr>
        <w:tc>
          <w:tcPr>
            <w:tcW w:type="dxa" w:w="2232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Fechamento financeiro</w:t>
            </w:r>
          </w:p>
        </w:tc>
        <w:tc>
          <w:tcPr>
            <w:tcW w:type="dxa" w:w="7992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Valor total do item aparece no rodapé, seguido imediatamente pelo mínimo total. A referência total não é repetida no resumo superior.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Kit e catálogo</w:t>
            </w:r>
          </w:p>
        </w:tc>
        <w:tc>
          <w:tcPr>
            <w:tcW w:type="dxa" w:w="7992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Produto principal e produtos anexados permanecem no mesmo contexto; catálogo, marca, modelo e LPU seguem acessíveis nos detalhes.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0"/>
        </w:rPr>
        <w:t>Decisões preservadas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Editais continuam sendo o módulo principal, com Pipeline e Calendário como visualizações dos mesmos dados.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Cards devem ser compactos, mas nunca esconder informação operacional essencial.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A edição geral permanece substituída pela edição individual por ícone.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O valor total permanece no rodapé dos cards de item.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Itens retirados e lotes totalmente retirados mantêm a solução atual até que as regras de negócio para reabertura sejam detalhadas.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A PR só deve receber estes commits depois da validação visual do conjunto.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0"/>
        </w:rPr>
        <w:t>Próximos passos já determinados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36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4536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Próximo passo</w:t>
            </w:r>
          </w:p>
        </w:tc>
        <w:tc>
          <w:tcPr>
            <w:tcW w:type="dxa" w:w="4752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Critério de conclusão</w:t>
            </w:r>
          </w:p>
        </w:tc>
      </w:tr>
      <w:tr>
        <w:tc>
          <w:tcPr>
            <w:tcW w:type="dxa" w:w="936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4536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Revisar visualmente itens compostos na aba Itens e na Sala de disputa.</w:t>
            </w:r>
          </w:p>
        </w:tc>
        <w:tc>
          <w:tcPr>
            <w:tcW w:type="dxa" w:w="4752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Kit, produto principal, produtos anexados, marcas, modelos e valores ficam claros sem criar subitens ou poluição visual.</w:t>
            </w:r>
          </w:p>
        </w:tc>
      </w:tr>
      <w:tr>
        <w:tc>
          <w:tcPr>
            <w:tcW w:type="dxa" w:w="936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4536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Definir regras de negócio para itens retirados e lotes totalmente retirados.</w:t>
            </w:r>
          </w:p>
        </w:tc>
        <w:tc>
          <w:tcPr>
            <w:tcW w:type="dxa" w:w="4752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Decidir quais informações aparecem, como reabrir e quando um lote totalmente retirado pode voltar à disputa.</w:t>
            </w:r>
          </w:p>
        </w:tc>
      </w:tr>
      <w:tr>
        <w:tc>
          <w:tcPr>
            <w:tcW w:type="dxa" w:w="936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4536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Avaliar se a compactação do Pipeline aglutinou alguma informação.</w:t>
            </w:r>
          </w:p>
        </w:tc>
        <w:tc>
          <w:tcPr>
            <w:tcW w:type="dxa" w:w="4752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Percorrer casos reais e registrar ajustes de densidade, ordem e prioridade de leitura.</w:t>
            </w:r>
          </w:p>
        </w:tc>
      </w:tr>
      <w:tr>
        <w:tc>
          <w:tcPr>
            <w:tcW w:type="dxa" w:w="936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4536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Manter a revisão visual profunda da aba Documentação pausada até detalhar o fluxo documental.</w:t>
            </w:r>
          </w:p>
        </w:tc>
        <w:tc>
          <w:tcPr>
            <w:tcW w:type="dxa" w:w="4752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Formalizar regras para conferência, assinatura, anexos, download e envio ao órgão.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0"/>
        </w:rPr>
        <w:t>Próximos passos recomendados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Aplicar a edição campo a campo também ao mínimo operacional, que ainda usa input direto dentro do vínculo de catálogo.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Consolidar campos dinâmicos do BI que representam a mesma característica com nomes diferentes, evitando repetições como Wi-Fi e Tecnologia Wi-Fi.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Unificar a versão LPU e o acesso ao arquivo em uma ação visual única, mantendo o tooltip e o acesso externo.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Fazer uma rodada de avaliação com um edital contendo Kit, item retirado e risco documental antes de submeter a PR.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Após a aprovação visual, enviar os commits para as branches remotas e atualizar a PR, mantendo a main intacta.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0"/>
        </w:rPr>
        <w:t>Validações realizadas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7920"/>
            <w:shd w:fill="355C7D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TypeScript</w:t>
            </w:r>
          </w:p>
        </w:tc>
        <w:tc>
          <w:tcPr>
            <w:tcW w:type="dxa" w:w="7920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npx tsc --noEmit concluído sem erros.</w:t>
            </w:r>
          </w:p>
        </w:tc>
      </w:tr>
      <w:tr>
        <w:tc>
          <w:tcPr>
            <w:tcW w:type="dxa" w:w="2304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Build</w:t>
            </w:r>
          </w:p>
        </w:tc>
        <w:tc>
          <w:tcPr>
            <w:tcW w:type="dxa" w:w="7920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npm run build concluído com sucesso.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Preview</w:t>
            </w:r>
          </w:p>
        </w:tc>
        <w:tc>
          <w:tcPr>
            <w:tcW w:type="dxa" w:w="7920"/>
            <w:shd w:fill="FFFFFF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Detalhe do edital conferido em modo preview; aba Itens e rodapé financeiro revisados.</w:t>
            </w:r>
          </w:p>
        </w:tc>
      </w:tr>
      <w:tr>
        <w:tc>
          <w:tcPr>
            <w:tcW w:type="dxa" w:w="2304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Histórico Git</w:t>
            </w:r>
          </w:p>
        </w:tc>
        <w:tc>
          <w:tcPr>
            <w:tcW w:type="dxa" w:w="7920"/>
            <w:shd w:fill="F5F7F9"/>
            <w:tcBorders>
              <w:top w:val="single" w:sz="6" w:space="0" w:color="D9E0E6"/>
              <w:left w:val="single" w:sz="6" w:space="0" w:color="D9E0E6"/>
              <w:bottom w:val="single" w:sz="6" w:space="0" w:color="D9E0E6"/>
              <w:right w:val="single" w:sz="6" w:space="0" w:color="D9E0E6"/>
              <w:insideH w:val="single" w:sz="6" w:space="0" w:color="D9E0E6"/>
              <w:insideV w:val="single" w:sz="6" w:space="0" w:color="D9E0E6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Dois commits locais criados e branches remotas não alteradas.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0"/>
        </w:rPr>
        <w:t>Roteiro de avaliação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Abrir um edital e alternar entre Informações e Itens.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Expandir um item com descrição longa e conferir preço unitário, valor total e mínimo total.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Passar o mouse sobre os campos e confirmar que o lápis aparece sem ocupar espaço permanente.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Editar um campo, concluir pelo check e verificar que somente o campo selecionado mudou.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Conferir um Kit com dois produtos vinculados, mantendo a quantidade do item original.</w:t>
      </w:r>
    </w:p>
    <w:p>
      <w:pPr>
        <w:pStyle w:val="ListBullet"/>
        <w:spacing w:after="60" w:line="259" w:lineRule="auto"/>
        <w:ind w:left="317"/>
      </w:pPr>
      <w:r>
        <w:rPr>
          <w:rFonts w:ascii="Aptos" w:hAnsi="Aptos"/>
          <w:b w:val="0"/>
          <w:color w:val="1F2937"/>
          <w:sz w:val="21"/>
        </w:rPr>
        <w:t>Comparar modo claro e escuro e observar especialmente textos longos, valores monetários e estados vazios.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B6575"/>
        <w:sz w:val="17"/>
      </w:rPr>
      <w:t>CRM Design System | Atualização em 11/09/2026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Atualização do Redesign do CRM</dc:title>
  <dc:subject>Acompanhamento das mudanças realizadas desde o último relatório</dc:subject>
  <dc:creator>Equipe CRM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