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Consolidado de Alterações do CRM</w:t>
      </w:r>
    </w:p>
    <w:p>
      <w:pPr>
        <w:spacing w:after="280"/>
      </w:pPr>
      <w:r>
        <w:rPr>
          <w:i/>
          <w:color w:val="52616B"/>
          <w:sz w:val="24"/>
        </w:rPr>
        <w:t>Redesign, regras operacionais e situação para revisão antes da produção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83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Informação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Período</w:t>
            </w:r>
          </w:p>
        </w:tc>
        <w:tc>
          <w:tcPr>
            <w:tcW w:type="dxa" w:w="83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Do início do ciclo de redesign até 11 de setembro de 2026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Escopo</w:t>
            </w:r>
          </w:p>
        </w:tc>
        <w:tc>
          <w:tcPr>
            <w:tcW w:type="dxa" w:w="83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Módulo CRM Comercial Tor, com foco em Editais, Itens, Pipeline, Calendário, detalhes e documentação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Situação</w:t>
            </w:r>
          </w:p>
        </w:tc>
        <w:tc>
          <w:tcPr>
            <w:tcW w:type="dxa" w:w="83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Alterações organizadas em branches e PRs para revisão antes de qualquer merge na main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Conclusão</w:t>
            </w:r>
          </w:p>
        </w:tc>
        <w:tc>
          <w:tcPr>
            <w:tcW w:type="dxa" w:w="83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 base visual e operacional foi consolidada. A aderência atual ao Design System é estimada em 7 de 10, com Documentação e evolução de tarefas como próximas frentes.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t>Este relatório reúne as mudanças realizadas desde o início do trabalho no CRM. Ele foi preparado para apoiar a revisão técnica e operacional das alterações antes da incorporação ao ambiente de produção.</w:t>
      </w:r>
    </w:p>
    <w:p>
      <w:pPr>
        <w:pStyle w:val="Heading1"/>
        <w:spacing w:before="280" w:after="100"/>
      </w:pPr>
      <w:r>
        <w:rPr>
          <w:color w:val="000000"/>
        </w:rPr>
        <w:t>1. Direção de produto e design system</w:t>
      </w:r>
    </w:p>
    <w:p>
      <w:pPr>
        <w:spacing w:after="120" w:line="269" w:lineRule="auto"/>
      </w:pPr>
      <w:r>
        <w:t>Foi criada uma base de diretrizes para que as decisões de interface não dependessem de ajustes isolados. O CRM passou a ser tratado como um cockpit operacional para analistas de editais, com foco em leitura rápida de prazo, etapa, risco, pendência, itens e próxima 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Direção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Aplicação no CRM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Atlassian 40%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Pipeline por macroetapa, cards compactos, pendências e indicadores de bloqueio.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Salesforce 25%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Edital como registro central, ações por contexto, abas e histórico ligado ao processo.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Carbon IBM 25%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Dados densos, filtros, itens, documentação e campos técnicos organizados para consulta.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Linear 10%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Polimento, bordas discretas, microinterações e conforto visual nos temas.</w:t>
            </w:r>
          </w:p>
        </w:tc>
      </w:tr>
    </w:tbl>
    <w:p>
      <w:pPr>
        <w:spacing w:after="60"/>
      </w:pPr>
    </w:p>
    <w:p>
      <w:pPr>
        <w:pStyle w:val="ListBullet"/>
        <w:spacing w:after="60" w:line="259" w:lineRule="auto"/>
      </w:pPr>
      <w:r>
        <w:t>Foram elaborados documentos estratégico, técnico, guia consolidado, manual visual, especificação de implementação, plano de execução e backlog imediato.</w:t>
      </w:r>
    </w:p>
    <w:p>
      <w:pPr>
        <w:pStyle w:val="ListBullet"/>
        <w:spacing w:after="60" w:line="259" w:lineRule="auto"/>
      </w:pPr>
      <w:r>
        <w:t>O manual definiu tokens de espaçamento, radius, bordas, alertas, ícones, temas claro e escuro e regras de densidade para cards e abas.</w:t>
      </w:r>
    </w:p>
    <w:p>
      <w:pPr>
        <w:pStyle w:val="ListBullet"/>
        <w:spacing w:after="60" w:line="259" w:lineRule="auto"/>
      </w:pPr>
      <w:r>
        <w:t>O roadmap passou a separar entregas concluídas, decisões de negócio e pendências que dependem de validação com uso real.</w:t>
      </w:r>
    </w:p>
    <w:p>
      <w:pPr>
        <w:pStyle w:val="Heading1"/>
        <w:spacing w:before="280" w:after="100"/>
      </w:pPr>
      <w:r>
        <w:rPr>
          <w:color w:val="000000"/>
        </w:rPr>
        <w:t>2. Editais, pipeline e calendário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Alterações entregues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Impacto operacional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Pipeline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Revisão de colunas, filtros, atalhos por prazo, contagens e estados vazios. Cards passaram a ter leitura por grupos de informação.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Menor esforço para identificar a etapa, o prazo e a necessidade de ação.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Cards de edital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Data em DD/MM/AAAA ou Sem data, prioridade por estrelas, portal, cidade, órgão, valor total, resumo de itens, status de checagem e alertas semânticos.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Triagem mais rápida sem abrir o edital em todos os casos.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Alertas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Separação entre alertas fortes e pendências discretas. A exclamação vermelha aparece antes do ID TOR quando faltam checagens de etapas anteriores.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Pendências aparecem sem competir com as informações de contexto.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Calendário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 lista de editais do dia reutiliza o card do Pipeline; clique abre o edital em popup e preserva o contexto do calendário.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Evita selecionar, abrir outra tela e refazer a busca de origem.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Popup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Página do edital carregada em modo embutido, sem menu lateral e sem ação de retorno ao pipeline. Mantida opção de abrir em nova janela.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Consulta e edição rápida sem navegação em cascata.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color w:val="000000"/>
        </w:rPr>
        <w:t>3. Página do edital e informações operacionais</w:t>
      </w:r>
    </w:p>
    <w:p>
      <w:pPr>
        <w:spacing w:after="120" w:line="269" w:lineRule="auto"/>
      </w:pPr>
      <w:r>
        <w:t>O detalhe do edital foi reorganizado como ficha operacional, deixando de se comportar como um formulário longo. As informações foram distribuídas em grupos de identificação, prazos e valores, órgão e localidade, resumo operacional, riscos e observações, links e resultado.</w:t>
      </w:r>
    </w:p>
    <w:p>
      <w:pPr>
        <w:pStyle w:val="ListBullet"/>
        <w:spacing w:after="60" w:line="259" w:lineRule="auto"/>
      </w:pPr>
      <w:r>
        <w:t>Foi adotada edição por campo: cada dado tem ação de edição contextual, feedback de salvamento e retorno ao estado de leitura.</w:t>
      </w:r>
    </w:p>
    <w:p>
      <w:pPr>
        <w:pStyle w:val="ListBullet"/>
        <w:spacing w:after="60" w:line="259" w:lineRule="auto"/>
      </w:pPr>
      <w:r>
        <w:t>O cabeçalho foi reduzido e reorganizado para manter identificação, portal, localidade, órgão, sessão, valor total, prioridade e ações mais importantes em uma área escaneável.</w:t>
      </w:r>
    </w:p>
    <w:p>
      <w:pPr>
        <w:pStyle w:val="ListBullet"/>
        <w:spacing w:after="60" w:line="259" w:lineRule="auto"/>
      </w:pPr>
      <w:r>
        <w:t>As checagens de documentação, análise técnica, proposta cadastrada e habilitação anexada foram posicionadas juntas e usam ícones estáveis. A cor muda conforme o estado, sem trocar o símbolo.</w:t>
      </w:r>
    </w:p>
    <w:p>
      <w:pPr>
        <w:pStyle w:val="ListBullet"/>
        <w:spacing w:after="60" w:line="259" w:lineRule="auto"/>
      </w:pPr>
      <w:r>
        <w:t>A prioridade por estrelas pode ser definida no próprio edital, sem exigir retorno ao Pipeline.</w:t>
      </w:r>
    </w:p>
    <w:p>
      <w:pPr>
        <w:pStyle w:val="Heading1"/>
        <w:spacing w:before="280" w:after="100"/>
      </w:pPr>
      <w:r>
        <w:rPr>
          <w:color w:val="000000"/>
        </w:rPr>
        <w:t>4. Aba Itens, precificação e kits</w:t>
      </w:r>
    </w:p>
    <w:p>
      <w:pPr>
        <w:spacing w:after="120" w:line="269" w:lineRule="auto"/>
      </w:pPr>
      <w:r>
        <w:t>A aba Itens recebeu a maior parte da revisão de informação densa. O objetivo foi preservar todos os dados necessários para decisão, mas distribuir a leitura em lote, cabeçalho do item, vínculo de catálogo, detalhes técnicos e fechamento financeiro.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Mudança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 ou comportamento aplicado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Leitura por lote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Itens em disputa aparecem primeiro; retirados ficam em área discreta e expansível. Lotes totalmente retirados mantêm uma apresentação reduzida até definição da regra de negócio.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Valores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Quantidade, referência unitária e mínimo unitário ficam no resumo editável; valor total e mínimo total permanecem no rodapé do item.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Mínimo unitário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 mínimo operacional foi retirado. A precedência adotada é Manual, LPU e Referência. A origem fica visível e a edição manual é feita no item.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LPU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Versão e acesso ao arquivo foram unificados dentro do vínculo de catálogo. A LPU deixou de ocupar o cabeçalho do item.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Kits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Produtos vinculados deixaram de aparecer como subitens comerciais. O item original preserva a quantidade e agrega referência e mínimo; produtos do kit aparecem de forma compacta com marca, modelo e mínimo LPU.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Tabela de disputa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 exportação e o download foram revisados. Ainda é necessária validação com Kit real para confirmar quantidade original e mínimo unitário do item principal.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color w:val="000000"/>
        </w:rPr>
        <w:t>5. Documentação, assinatura e histórico</w:t>
      </w:r>
    </w:p>
    <w:p>
      <w:pPr>
        <w:spacing w:after="120" w:line="269" w:lineRule="auto"/>
      </w:pPr>
      <w:r>
        <w:t>O fluxo documental existente foi preservado: checklist por edital, vínculo com a biblioteca central, upload, download, solicitações de assinatura e alerta de assinatura pendente. A estrutura visual mais recente foi avaliada e a decisão é retomar o refinamento de layout em uma fase própria, sem reverter regras ou banco de dados.</w:t>
      </w:r>
    </w:p>
    <w:p>
      <w:pPr>
        <w:pStyle w:val="ListBullet"/>
        <w:spacing w:after="60" w:line="259" w:lineRule="auto"/>
      </w:pPr>
      <w:r>
        <w:t>A regra registrada é que um documento só pode ser conferido quando houver arquivo vinculado e, quando necessário, assinatura concluída.</w:t>
      </w:r>
    </w:p>
    <w:p>
      <w:pPr>
        <w:pStyle w:val="ListBullet"/>
        <w:spacing w:after="60" w:line="259" w:lineRule="auto"/>
      </w:pPr>
      <w:r>
        <w:t>Assinatura pendente exige atenção, mas não bloqueia automaticamente o avanço da etapa de Documentação.</w:t>
      </w:r>
    </w:p>
    <w:p>
      <w:pPr>
        <w:pStyle w:val="ListBullet"/>
        <w:spacing w:after="60" w:line="259" w:lineRule="auto"/>
      </w:pPr>
      <w:r>
        <w:t>No início, documentos serão selecionados manualmente; mais adiante poderão ser definidos a partir do arquivo importado.</w:t>
      </w:r>
    </w:p>
    <w:p>
      <w:pPr>
        <w:pStyle w:val="ListBullet"/>
        <w:spacing w:after="60" w:line="259" w:lineRule="auto"/>
      </w:pPr>
      <w:r>
        <w:t>A aba Histórico foi convertida para uma timeline compacta com data, usuário, ação e detalhe relevante.</w:t>
      </w:r>
    </w:p>
    <w:p>
      <w:pPr>
        <w:pStyle w:val="Heading1"/>
        <w:spacing w:before="280" w:after="100"/>
      </w:pPr>
      <w:r>
        <w:rPr>
          <w:color w:val="000000"/>
        </w:rPr>
        <w:t>6. Dados, persistência e qualidade técnica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Estados de checagem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Documentação, análise técnica, proposta e habilitação passaram de marcadores textuais em observações para o campo estruturado operational_checks.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Compatibilidade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Registros antigos continuam legíveis; a migração ocorre no próximo salvamento, mantendo as observações livres separadas dos estados.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Banco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 modelo do CRM e a inicialização do esquema foram atualizados para criar a coluna de checagens em instalações existentes.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Preview local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Foram criados dados de demonstração para testar cards, etapas, checagens e Kit com dois produtos vinculados sem acesso ao banco de produção.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Validação</w:t>
            </w:r>
          </w:p>
        </w:tc>
        <w:tc>
          <w:tcPr>
            <w:tcW w:type="dxa" w:w="7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 verificação de tipos TypeScript e a compilação dos módulos Python alterados foram concluídas. O preview foi usado para conferência visual dos fluxos principais.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color w:val="000000"/>
        </w:rPr>
        <w:t>7. Avaliação atual do design</w:t>
      </w:r>
    </w:p>
    <w:p>
      <w:pPr>
        <w:spacing w:after="120" w:line="269" w:lineRule="auto"/>
      </w:pPr>
      <w:r>
        <w:t>A aderência atual ao Design System é estimada em 7 de 10. Pipeline, cards, popup e aba Informações são as superfícies mais maduras. O CRM já transmite uma experiência operacional, organizada e adequada para uso prolongado.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Ponto forte</w:t>
            </w:r>
          </w:p>
        </w:tc>
        <w:tc>
          <w:tcPr>
            <w:tcW w:type="dxa" w:w="5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Ponto a evoluir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Informações agrupadas, edição por campo e alertas discretos no contexto correto.</w:t>
            </w:r>
          </w:p>
        </w:tc>
        <w:tc>
          <w:tcPr>
            <w:tcW w:type="dxa" w:w="5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 aba Itens ainda mistura análise operacional e resultado da disputa no mesmo início de tela.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Tema escuro sem preto absoluto e tema claro com superfícies mais definidas.</w:t>
            </w:r>
          </w:p>
        </w:tc>
        <w:tc>
          <w:tcPr>
            <w:tcW w:type="dxa" w:w="5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Validar ambos os temas com editais reais e considerar mais neutros para reduzir a predominância azul e grafite.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Cards do Pipeline concentram os dados de decisão sem perder prazo, valor e pendências.</w:t>
            </w:r>
          </w:p>
        </w:tc>
        <w:tc>
          <w:tcPr>
            <w:tcW w:type="dxa" w:w="5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Observar a compactação com dados reais para evitar informações escondidas ou excessivamente aglutinadas.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Kits agora respeitam o conceito de item comercial único.</w:t>
            </w:r>
          </w:p>
        </w:tc>
        <w:tc>
          <w:tcPr>
            <w:tcW w:type="dxa" w:w="5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Consolidar campos técnicos duplicados do BI, como Wi-Fi e Tecnologia Wi-Fi, e validar a Sala de disputa.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Padrões e tokens visuais já existem no código.</w:t>
            </w:r>
          </w:p>
        </w:tc>
        <w:tc>
          <w:tcPr>
            <w:tcW w:type="dxa" w:w="5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Formalizar componentes-base reutilizáveis para evitar diferenças entre Pipeline, Calendário e abas internas.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color w:val="000000"/>
        </w:rPr>
        <w:t>8. Situação de versionamento e revisão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Repositório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</w:t>
            </w:r>
          </w:p>
        </w:tc>
        <w:tc>
          <w:tcPr>
            <w:tcW w:type="dxa" w:w="4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bid-buddy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codex/crm-layout-redesign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 #5</w:t>
            </w:r>
          </w:p>
        </w:tc>
        <w:tc>
          <w:tcPr>
            <w:tcW w:type="dxa" w:w="4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Redesign visual, checklists estruturados, alertas e agrupamento de Kits.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RagMatchAvancado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codex/crm-design-system-layout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 #25</w:t>
            </w:r>
          </w:p>
        </w:tc>
        <w:tc>
          <w:tcPr>
            <w:tcW w:type="dxa" w:w="4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Modelo de banco para checagens, referência ao frontend e documentação de roadmap.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t>As PRs foram abertas contra a main sem merge automático. A revisão pode acontecer em etapas: primeiro o frontend, depois a integração do repositório principal que referencia o commit correspondente.</w:t>
      </w:r>
    </w:p>
    <w:p>
      <w:pPr>
        <w:pStyle w:val="Heading1"/>
        <w:spacing w:before="280" w:after="100"/>
      </w:pPr>
      <w:r>
        <w:rPr>
          <w:color w:val="000000"/>
        </w:rPr>
        <w:t>9. Próxima fase recomendada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Próxima ação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Dependência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Consolidar campos técnicos duplicados do BI.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Definir chaves canônicas e manter dados brutos consultáveis.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Validar Kit na Sala de disputa com caso real.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Confirmar quantidade original, mínimo unitário e produtos vinculados.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Retomar a aba Documentação.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Usar a regra já definida para conferência, assinatura e vínculo com biblioteca.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Formalizar componentes-base do CRM.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Usar os padrões existentes como contrato compartilhado.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Planejar tarefas e notificações.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Necessário para alertas de prazo, análise parada e execução atribuída.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color w:val="000000"/>
        </w:rPr>
        <w:t>Anexo  Registro de entregas por ciclo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Ciclo</w:t>
            </w:r>
          </w:p>
        </w:tc>
        <w:tc>
          <w:tcPr>
            <w:tcW w:type="dxa" w:w="81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A5F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Entregas agrupadas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Base visual</w:t>
            </w:r>
          </w:p>
        </w:tc>
        <w:tc>
          <w:tcPr>
            <w:tcW w:type="dxa" w:w="81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Temas claro e escuro, superfícies, navegação, filtros, pipeline, calendário e estados vazios.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Edital</w:t>
            </w:r>
          </w:p>
        </w:tc>
        <w:tc>
          <w:tcPr>
            <w:tcW w:type="dxa" w:w="81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Cabeçalho, popup, Informações, edição por campo, ações, prioridade, status e histórico.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Itens</w:t>
            </w:r>
          </w:p>
        </w:tc>
        <w:tc>
          <w:tcPr>
            <w:tcW w:type="dxa" w:w="81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Lotes, retirados, preços, mínimo unitário, LPU, vínculo de catálogo, tabela de disputa e Kits.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Operação</w:t>
            </w:r>
          </w:p>
        </w:tc>
        <w:tc>
          <w:tcPr>
            <w:tcW w:type="dxa" w:w="81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Checagens estruturadas, alertas de pendência anterior, assinatura, documentos e preview local.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Governança</w:t>
            </w:r>
          </w:p>
        </w:tc>
        <w:tc>
          <w:tcPr>
            <w:tcW w:type="dxa" w:w="81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Design System, manual visual, especificação técnica, plano de execução, backlog, commits e PRs.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t>O roadmap detalhado, as decisões de negócio e as pendências atuais permanecem registrados nos arquivos de Design System do repositório. Este relatório consolida o estado para revisão e não substitui esses documentos de trabalho.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52616B"/>
        <w:sz w:val="16"/>
      </w:rPr>
      <w:t>CRM Comercial Tor  Relatório de acompanhamento</w:t>
    </w:r>
  </w:p>
  <w:p>
    <w:pPr>
      <w:jc w:val="right"/>
    </w:pPr>
    <w:r>
      <w:rPr>
        <w:color w:val="52616B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00" w:lineRule="exact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