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Acompanhamento do Redesign do CRM</w:t>
      </w:r>
    </w:p>
    <w:p>
      <w:pPr>
        <w:spacing w:after="240"/>
      </w:pPr>
      <w:r>
        <w:rPr>
          <w:color w:val="5F6B76"/>
          <w:sz w:val="24"/>
        </w:rPr>
        <w:t>Avaliação das alterações antes da incorporação ao código final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033"/>
            <w:shd w:fill="EAF2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DATA</w:t>
              <w:br/>
            </w:r>
            <w:r>
              <w:rPr>
                <w:color w:val="202124"/>
                <w:sz w:val="19"/>
              </w:rPr>
              <w:t>8 de setembro de 2026</w:t>
            </w:r>
          </w:p>
        </w:tc>
        <w:tc>
          <w:tcPr>
            <w:tcW w:type="dxa" w:w="3033"/>
            <w:shd w:fill="EAF2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MÓDULO</w:t>
              <w:br/>
            </w:r>
            <w:r>
              <w:rPr>
                <w:color w:val="202124"/>
                <w:sz w:val="19"/>
              </w:rPr>
              <w:t>CRM Editais</w:t>
            </w:r>
          </w:p>
        </w:tc>
        <w:tc>
          <w:tcPr>
            <w:tcW w:type="dxa" w:w="3033"/>
            <w:shd w:fill="EAF2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ESTADO</w:t>
              <w:br/>
            </w:r>
            <w:r>
              <w:rPr>
                <w:color w:val="202124"/>
                <w:sz w:val="19"/>
              </w:rPr>
              <w:t>Branch de avaliação</w:t>
            </w:r>
          </w:p>
        </w:tc>
      </w:tr>
    </w:tbl>
    <w:p>
      <w:pPr>
        <w:spacing w:after="20"/>
      </w:pPr>
    </w:p>
    <w:p>
      <w:pPr>
        <w:pStyle w:val="Heading1"/>
      </w:pPr>
      <w:r>
        <w:t>Objetivo do documento</w:t>
      </w:r>
    </w:p>
    <w:p>
      <w:r>
        <w:t>Este relatório apresenta, em linguagem de acompanhamento, as alterações realizadas no redesign do CRM de editais. O material foi preparado para apoiar a avaliação funcional e visual antes que as mudanças sejam incorporadas ao código final e disponibilizadas em produção.</w:t>
      </w:r>
    </w:p>
    <w:p>
      <w:r>
        <w:t>A avaliação deve verificar se o CRM ficou mais claro, organizado e fluido sem esconder informações operacionais importantes. O documento também separa o que já foi implementado, o que foi deliberadamente mantido em espera e o que ainda precisa ser validado.</w:t>
      </w:r>
    </w:p>
    <w:p>
      <w:pPr>
        <w:pStyle w:val="Heading1"/>
      </w:pPr>
      <w:r>
        <w:t>Resumo executivo</w:t>
      </w:r>
    </w:p>
    <w:p>
      <w:r>
        <w:t>A revisão avançou até a etapa 4.17 do roadmap. As telas principais do módulo Editais foram reorganizadas para compartilhar uma mesma linguagem visual, com maior hierarquia de informações, cards compactos, alertas separados dos dados comuns e abertura de editais em popup.</w:t>
      </w:r>
    </w:p>
    <w:p>
      <w:r>
        <w:t>O resultado está disponível em branch própria para avaliação. A main não foi alterada. A recomendação é validar primeiro a experiência em telas menores, depois revisar acessibilidade e, por fim, executar a revisão geral de consistência em modo claro e escuro.</w:t>
      </w:r>
    </w:p>
    <w:p>
      <w:pPr>
        <w:pStyle w:val="Heading1"/>
      </w:pPr>
      <w:r>
        <w:t>Estado da entrega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1191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3969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Mudança realizada</w:t>
            </w:r>
          </w:p>
        </w:tc>
        <w:tc>
          <w:tcPr>
            <w:tcW w:type="dxa" w:w="2835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Evidência para avaliação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202124"/>
                <w:sz w:val="17"/>
              </w:rPr>
              <w:t>Lotes 1 a 3</w:t>
            </w:r>
          </w:p>
        </w:tc>
        <w:tc>
          <w:tcPr>
            <w:tcW w:type="dxa" w:w="119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2E7D5B"/>
                <w:sz w:val="17"/>
              </w:rPr>
              <w:t>Concluído</w:t>
            </w:r>
          </w:p>
        </w:tc>
        <w:tc>
          <w:tcPr>
            <w:tcW w:type="dxa" w:w="396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Base visual, módulo Editais, Pipeline, Calendário, filtros, popup e cards compartilhados foram revisados.</w:t>
            </w:r>
          </w:p>
        </w:tc>
        <w:tc>
          <w:tcPr>
            <w:tcW w:type="dxa" w:w="283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Percorrer Pipeline e Calendário e comparar o card do edital nas duas visualizações.</w:t>
            </w:r>
          </w:p>
        </w:tc>
      </w:tr>
      <w:tr>
        <w:tc>
          <w:tcPr>
            <w:tcW w:type="dxa" w:w="113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202124"/>
                <w:sz w:val="17"/>
              </w:rPr>
              <w:t>4.10 a 4.12</w:t>
            </w:r>
          </w:p>
        </w:tc>
        <w:tc>
          <w:tcPr>
            <w:tcW w:type="dxa" w:w="119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2E7D5B"/>
                <w:sz w:val="17"/>
              </w:rPr>
              <w:t>Concluído</w:t>
            </w:r>
          </w:p>
        </w:tc>
        <w:tc>
          <w:tcPr>
            <w:tcW w:type="dxa" w:w="3969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Cabeçalho do edital, aba Informações e aba Itens foram refinados.</w:t>
            </w:r>
          </w:p>
        </w:tc>
        <w:tc>
          <w:tcPr>
            <w:tcW w:type="dxa" w:w="2835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Abrir um edital e conferir hierarquia, edição campo a campo, itens em disputa e valores totais.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202124"/>
                <w:sz w:val="17"/>
              </w:rPr>
              <w:t>4.14 a 4.17</w:t>
            </w:r>
          </w:p>
        </w:tc>
        <w:tc>
          <w:tcPr>
            <w:tcW w:type="dxa" w:w="119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2E7D5B"/>
                <w:sz w:val="17"/>
              </w:rPr>
              <w:t>Concluído</w:t>
            </w:r>
          </w:p>
        </w:tc>
        <w:tc>
          <w:tcPr>
            <w:tcW w:type="dxa" w:w="396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Abas internas, ícones, badges, alertas, estados vazios e carregamentos foram padronizados.</w:t>
            </w:r>
          </w:p>
        </w:tc>
        <w:tc>
          <w:tcPr>
            <w:tcW w:type="dxa" w:w="283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Percorrer as abas e provocar estados sem dados, carregamento e listas vazias.</w:t>
            </w:r>
          </w:p>
        </w:tc>
      </w:tr>
      <w:tr>
        <w:tc>
          <w:tcPr>
            <w:tcW w:type="dxa" w:w="113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202124"/>
                <w:sz w:val="17"/>
              </w:rPr>
              <w:t>4.13 Documentação</w:t>
            </w:r>
          </w:p>
        </w:tc>
        <w:tc>
          <w:tcPr>
            <w:tcW w:type="dxa" w:w="119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A6700"/>
                <w:sz w:val="17"/>
              </w:rPr>
              <w:t>Pausado</w:t>
            </w:r>
          </w:p>
        </w:tc>
        <w:tc>
          <w:tcPr>
            <w:tcW w:type="dxa" w:w="3969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A revisão visual foi mantida em espera até detalhar regras de negócio e fluxo documental.</w:t>
            </w:r>
          </w:p>
        </w:tc>
        <w:tc>
          <w:tcPr>
            <w:tcW w:type="dxa" w:w="2835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Validar apenas o comportamento atual e registrar necessidades de negócio antes de redesenhar.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202124"/>
                <w:sz w:val="17"/>
              </w:rPr>
              <w:t>4.18 a 4.20</w:t>
            </w:r>
          </w:p>
        </w:tc>
        <w:tc>
          <w:tcPr>
            <w:tcW w:type="dxa" w:w="119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5F6B76"/>
                <w:sz w:val="17"/>
              </w:rPr>
              <w:t>Pendente</w:t>
            </w:r>
          </w:p>
        </w:tc>
        <w:tc>
          <w:tcPr>
            <w:tcW w:type="dxa" w:w="396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Responsividade, acessibilidade básica e revisão final ainda não foram concluídas.</w:t>
            </w:r>
          </w:p>
        </w:tc>
        <w:tc>
          <w:tcPr>
            <w:tcW w:type="dxa" w:w="283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Executar o roteiro de validação descrito neste documento.</w:t>
            </w:r>
          </w:p>
        </w:tc>
      </w:tr>
    </w:tbl>
    <w:p>
      <w:pPr>
        <w:spacing w:after="20"/>
      </w:pPr>
    </w:p>
    <w:p>
      <w:pPr>
        <w:pStyle w:val="Heading1"/>
      </w:pPr>
      <w:r>
        <w:t>Mudanças realizadas</w:t>
      </w:r>
    </w:p>
    <w:p>
      <w:pPr>
        <w:pStyle w:val="Heading2"/>
      </w:pPr>
      <w:r>
        <w:t>Organização do módulo Editais</w:t>
      </w:r>
    </w:p>
    <w:p>
      <w:pPr>
        <w:pStyle w:val="ListBullet"/>
        <w:spacing w:after="60"/>
        <w:ind w:left="255" w:hanging="142"/>
      </w:pPr>
      <w:r>
        <w:t>Editais passou a ser tratado como o módulo principal, com alternância entre Pipeline e Calendário.</w:t>
      </w:r>
    </w:p>
    <w:p>
      <w:pPr>
        <w:pStyle w:val="ListBullet"/>
        <w:spacing w:after="60"/>
        <w:ind w:left="255" w:hanging="142"/>
      </w:pPr>
      <w:r>
        <w:t>Pipeline e Calendário compartilham fonte de dados, filtros, preservação de filtros na URL e linguagem de cards.</w:t>
      </w:r>
    </w:p>
    <w:p>
      <w:pPr>
        <w:pStyle w:val="ListBullet"/>
        <w:spacing w:after="60"/>
        <w:ind w:left="255" w:hanging="142"/>
      </w:pPr>
      <w:r>
        <w:t>O Calendário deixou de ser uma área visualmente isolada e passou a funcionar como outra forma de consultar os mesmos editais.</w:t>
      </w:r>
    </w:p>
    <w:p>
      <w:pPr>
        <w:pStyle w:val="ListBullet"/>
        <w:spacing w:after="60"/>
        <w:ind w:left="255" w:hanging="142"/>
      </w:pPr>
      <w:r>
        <w:t>A lista lateral do Calendário usa o mesmo card de edital do Pipeline, reduzindo diferenças de leitura entre as telas.</w:t>
      </w:r>
    </w:p>
    <w:p>
      <w:pPr>
        <w:pStyle w:val="Heading2"/>
      </w:pPr>
      <w:r>
        <w:t>Cards e leitura operacional</w:t>
      </w:r>
    </w:p>
    <w:p>
      <w:pPr>
        <w:pStyle w:val="ListBullet"/>
        <w:spacing w:after="60"/>
        <w:ind w:left="255" w:hanging="142"/>
      </w:pPr>
      <w:r>
        <w:t>Os cards foram compactados e reorganizados em grupos: identificação, contexto do órgão, valor, documentação, itens e alertas.</w:t>
      </w:r>
    </w:p>
    <w:p>
      <w:pPr>
        <w:pStyle w:val="ListBullet"/>
        <w:spacing w:after="60"/>
        <w:ind w:left="255" w:hanging="142"/>
      </w:pPr>
      <w:r>
        <w:t>A data aparece em formato DD/MM/YYYY quando cadastrada; quando não existe, o card apresenta Sem data.</w:t>
      </w:r>
    </w:p>
    <w:p>
      <w:pPr>
        <w:pStyle w:val="ListBullet"/>
        <w:spacing w:after="60"/>
        <w:ind w:left="255" w:hanging="142"/>
      </w:pPr>
      <w:r>
        <w:t>O valor total do item permanece no rodapé do card, preservando uma decisão visual considerada importante.</w:t>
      </w:r>
    </w:p>
    <w:p>
      <w:pPr>
        <w:pStyle w:val="ListBullet"/>
        <w:spacing w:after="60"/>
        <w:ind w:left="255" w:hanging="142"/>
      </w:pPr>
      <w:r>
        <w:t>Alertas fortes, como prazo próximo, documento pendente e risco, foram separados de metadados comuns e informações de pós-disputa.</w:t>
      </w:r>
    </w:p>
    <w:p>
      <w:pPr>
        <w:pStyle w:val="ListBullet"/>
        <w:spacing w:after="60"/>
        <w:ind w:left="255" w:hanging="142"/>
      </w:pPr>
      <w:r>
        <w:t>Ícones e nomenclaturas do card foram alinhados com a página do edital para reduzir a necessidade de reaprendizado.</w:t>
      </w:r>
    </w:p>
    <w:p>
      <w:pPr>
        <w:pStyle w:val="Heading2"/>
      </w:pPr>
      <w:r>
        <w:t>Página do edital e popup</w:t>
      </w:r>
    </w:p>
    <w:p>
      <w:pPr>
        <w:pStyle w:val="ListBullet"/>
        <w:spacing w:after="60"/>
        <w:ind w:left="255" w:hanging="142"/>
      </w:pPr>
      <w:r>
        <w:t>O cabeçalho do edital foi reorganizado para destacar número, portal, localidade, órgão, sessão e valor total.</w:t>
      </w:r>
    </w:p>
    <w:p>
      <w:pPr>
        <w:pStyle w:val="ListBullet"/>
        <w:spacing w:after="60"/>
        <w:ind w:left="255" w:hanging="142"/>
      </w:pPr>
      <w:r>
        <w:t>O popup mostra uma visão do edital sem tirar o usuário do Pipeline ou do Calendário.</w:t>
      </w:r>
    </w:p>
    <w:p>
      <w:pPr>
        <w:pStyle w:val="ListBullet"/>
        <w:spacing w:after="60"/>
        <w:ind w:left="255" w:hanging="142"/>
      </w:pPr>
      <w:r>
        <w:t>O popup não apresenta menu lateral esquerdo nem botão de voltar ao Pipeline, evitando navegação recursiva dentro da própria janela.</w:t>
      </w:r>
    </w:p>
    <w:p>
      <w:pPr>
        <w:pStyle w:val="ListBullet"/>
        <w:spacing w:after="60"/>
        <w:ind w:left="255" w:hanging="142"/>
      </w:pPr>
      <w:r>
        <w:t>A abertura em nova janela continua disponível dentro do popup para quem precisar da página completa.</w:t>
      </w:r>
    </w:p>
    <w:p>
      <w:pPr>
        <w:pStyle w:val="Heading2"/>
      </w:pPr>
      <w:r>
        <w:t>Abas internas</w:t>
      </w:r>
    </w:p>
    <w:p>
      <w:pPr>
        <w:pStyle w:val="ListBullet"/>
        <w:spacing w:after="60"/>
        <w:ind w:left="255" w:hanging="142"/>
      </w:pPr>
      <w:r>
        <w:t>A aba Informações foi organizada como ficha operacional, com agrupamentos mais leves e edição campo a campo por ícone.</w:t>
      </w:r>
    </w:p>
    <w:p>
      <w:pPr>
        <w:pStyle w:val="ListBullet"/>
        <w:spacing w:after="60"/>
        <w:ind w:left="255" w:hanging="142"/>
      </w:pPr>
      <w:r>
        <w:t>A aba Itens preserva agrupamento por lote, separação entre itens em disputa e retirados e acesso aos itens retirados.</w:t>
      </w:r>
    </w:p>
    <w:p>
      <w:pPr>
        <w:pStyle w:val="ListBullet"/>
        <w:spacing w:after="60"/>
        <w:ind w:left="255" w:hanging="142"/>
      </w:pPr>
      <w:r>
        <w:t>Sala de disputa, Match, Sessões, Pós-disputa, Concorrentes e Histórico receberam cabeçalhos e superfícies consistentes.</w:t>
      </w:r>
    </w:p>
    <w:p>
      <w:pPr>
        <w:pStyle w:val="ListBullet"/>
        <w:spacing w:after="60"/>
        <w:ind w:left="255" w:hanging="142"/>
      </w:pPr>
      <w:r>
        <w:t>O Histórico passou a usar uma timeline compacta, adequada para leitura sequencial.</w:t>
      </w:r>
    </w:p>
    <w:p>
      <w:pPr>
        <w:pStyle w:val="Heading2"/>
      </w:pPr>
      <w:r>
        <w:t>Ações, ícones e status</w:t>
      </w:r>
    </w:p>
    <w:p>
      <w:pPr>
        <w:pStyle w:val="ListBullet"/>
        <w:spacing w:after="60"/>
        <w:ind w:left="255" w:hanging="142"/>
      </w:pPr>
      <w:r>
        <w:t>Ações de edital foram organizadas em menu de três pontos quando não são prioritárias para a operação imediata.</w:t>
      </w:r>
    </w:p>
    <w:p>
      <w:pPr>
        <w:pStyle w:val="ListBullet"/>
        <w:spacing w:after="60"/>
        <w:ind w:left="255" w:hanging="142"/>
      </w:pPr>
      <w:r>
        <w:t>Análise técnica usa ícone de ferramenta; ações de disputa usam símbolo relacionado à disputa; agendamento, documentação e status têm representação consistente.</w:t>
      </w:r>
    </w:p>
    <w:p>
      <w:pPr>
        <w:pStyle w:val="ListBullet"/>
        <w:spacing w:after="60"/>
        <w:ind w:left="255" w:hanging="142"/>
      </w:pPr>
      <w:r>
        <w:t>Ícones de ferramenta receberam title, aria-label ou tooltip conforme o componente.</w:t>
      </w:r>
    </w:p>
    <w:p>
      <w:pPr>
        <w:pStyle w:val="ListBullet"/>
        <w:spacing w:after="60"/>
        <w:ind w:left="255" w:hanging="142"/>
      </w:pPr>
      <w:r>
        <w:t>Badges de etapa e resultado foram ajustados para seguir o raio do design system, evitando aparência excessivamente arredondada.</w:t>
      </w:r>
    </w:p>
    <w:p>
      <w:pPr>
        <w:pStyle w:val="ListBullet"/>
        <w:spacing w:after="60"/>
        <w:ind w:left="255" w:hanging="142"/>
      </w:pPr>
      <w:r>
        <w:t>Estados de carregamento e listas vazias usam componentes reutilizáveis com ícone, título e descrição curta.</w:t>
      </w:r>
    </w:p>
    <w:p>
      <w:pPr>
        <w:pStyle w:val="Heading1"/>
      </w:pPr>
      <w:r>
        <w:t>Decisões preservadas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Decisão</w:t>
            </w:r>
          </w:p>
        </w:tc>
        <w:tc>
          <w:tcPr>
            <w:tcW w:type="dxa" w:w="6293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Tratamento adotado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202124"/>
                <w:sz w:val="17"/>
              </w:rPr>
              <w:t>Modo claro e modo escuro</w:t>
            </w:r>
          </w:p>
        </w:tc>
        <w:tc>
          <w:tcPr>
            <w:tcW w:type="dxa" w:w="629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Os dois temas permanecem disponíveis. O claro recebeu mais presença visual e o escuro foi suavizado.</w:t>
            </w:r>
          </w:p>
        </w:tc>
      </w:tr>
      <w:tr>
        <w:tc>
          <w:tcPr>
            <w:tcW w:type="dxa" w:w="2835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202124"/>
                <w:sz w:val="17"/>
              </w:rPr>
              <w:t>Compactação dos cards</w:t>
            </w:r>
          </w:p>
        </w:tc>
        <w:tc>
          <w:tcPr>
            <w:tcW w:type="dxa" w:w="6293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A interface deve ser compacta, mas não pode esconder informações operacionais essenciais.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202124"/>
                <w:sz w:val="17"/>
              </w:rPr>
              <w:t>Edição campo a campo</w:t>
            </w:r>
          </w:p>
        </w:tc>
        <w:tc>
          <w:tcPr>
            <w:tcW w:type="dxa" w:w="629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O usuário edita um campo por vez usando o ícone específico, sem botão de edição geral.</w:t>
            </w:r>
          </w:p>
        </w:tc>
      </w:tr>
      <w:tr>
        <w:tc>
          <w:tcPr>
            <w:tcW w:type="dxa" w:w="2835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202124"/>
                <w:sz w:val="17"/>
              </w:rPr>
              <w:t>Itens retirados</w:t>
            </w:r>
          </w:p>
        </w:tc>
        <w:tc>
          <w:tcPr>
            <w:tcW w:type="dxa" w:w="6293"/>
            <w:shd w:fill="F4F6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A solução visual atual foi mantida até que as regras de negócio para reabertura e lotes totalmente retirados estejam mais detalhadas.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202124"/>
                <w:sz w:val="17"/>
              </w:rPr>
              <w:t>Documentação</w:t>
            </w:r>
          </w:p>
        </w:tc>
        <w:tc>
          <w:tcPr>
            <w:tcW w:type="dxa" w:w="6293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A aba continua funcional, mas o redesign visual profundo está pausado até detalhamento do fluxo documental.</w:t>
            </w:r>
          </w:p>
        </w:tc>
      </w:tr>
    </w:tbl>
    <w:p>
      <w:pPr>
        <w:spacing w:after="20"/>
      </w:pPr>
    </w:p>
    <w:p>
      <w:pPr>
        <w:pStyle w:val="Heading1"/>
      </w:pPr>
      <w:r>
        <w:t>Pendências do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1191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3969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Mudança realizada</w:t>
            </w:r>
          </w:p>
        </w:tc>
        <w:tc>
          <w:tcPr>
            <w:tcW w:type="dxa" w:w="2835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Evidência para avaliação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202124"/>
                <w:sz w:val="17"/>
              </w:rPr>
              <w:t>4.18</w:t>
            </w:r>
          </w:p>
        </w:tc>
        <w:tc>
          <w:tcPr>
            <w:tcW w:type="dxa" w:w="119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5F6B76"/>
                <w:sz w:val="17"/>
              </w:rPr>
              <w:t>Pendente</w:t>
            </w:r>
          </w:p>
        </w:tc>
        <w:tc>
          <w:tcPr>
            <w:tcW w:type="dxa" w:w="396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Responsividade e telas menores.</w:t>
            </w:r>
          </w:p>
        </w:tc>
        <w:tc>
          <w:tcPr>
            <w:tcW w:type="dxa" w:w="283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Validar Pipeline, Calendário, popup, página do edital, filtros, abas e scroll horizontal.</w:t>
            </w:r>
          </w:p>
        </w:tc>
      </w:tr>
      <w:tr>
        <w:tc>
          <w:tcPr>
            <w:tcW w:type="dxa" w:w="113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202124"/>
                <w:sz w:val="17"/>
              </w:rPr>
              <w:t>4.19</w:t>
            </w:r>
          </w:p>
        </w:tc>
        <w:tc>
          <w:tcPr>
            <w:tcW w:type="dxa" w:w="119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5F6B76"/>
                <w:sz w:val="17"/>
              </w:rPr>
              <w:t>Pendente</w:t>
            </w:r>
          </w:p>
        </w:tc>
        <w:tc>
          <w:tcPr>
            <w:tcW w:type="dxa" w:w="3969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Acessibilidade básica.</w:t>
            </w:r>
          </w:p>
        </w:tc>
        <w:tc>
          <w:tcPr>
            <w:tcW w:type="dxa" w:w="2835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Validar foco, teclado, aria-labels, contraste e compreensão sem depender apenas de tooltip.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202124"/>
                <w:sz w:val="17"/>
              </w:rPr>
              <w:t>4.20</w:t>
            </w:r>
          </w:p>
        </w:tc>
        <w:tc>
          <w:tcPr>
            <w:tcW w:type="dxa" w:w="119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5F6B76"/>
                <w:sz w:val="17"/>
              </w:rPr>
              <w:t>Pendente</w:t>
            </w:r>
          </w:p>
        </w:tc>
        <w:tc>
          <w:tcPr>
            <w:tcW w:type="dxa" w:w="396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Revisão final de consistência.</w:t>
            </w:r>
          </w:p>
        </w:tc>
        <w:tc>
          <w:tcPr>
            <w:tcW w:type="dxa" w:w="283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Comparar telas em modo claro e escuro, validar build, preview e exceções.</w:t>
            </w:r>
          </w:p>
        </w:tc>
      </w:tr>
      <w:tr>
        <w:tc>
          <w:tcPr>
            <w:tcW w:type="dxa" w:w="113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202124"/>
                <w:sz w:val="17"/>
              </w:rPr>
              <w:t>Aba Documentação</w:t>
            </w:r>
          </w:p>
        </w:tc>
        <w:tc>
          <w:tcPr>
            <w:tcW w:type="dxa" w:w="119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9A6700"/>
                <w:sz w:val="17"/>
              </w:rPr>
              <w:t>Pausado</w:t>
            </w:r>
          </w:p>
        </w:tc>
        <w:tc>
          <w:tcPr>
            <w:tcW w:type="dxa" w:w="3969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Checklist mais biblioteca de arquivos.</w:t>
            </w:r>
          </w:p>
        </w:tc>
        <w:tc>
          <w:tcPr>
            <w:tcW w:type="dxa" w:w="2835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Detalhar regras de documentos, assinatura, anexos e conferência antes de nova proposta visual.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202124"/>
                <w:sz w:val="17"/>
              </w:rPr>
              <w:t>Itens retirados</w:t>
            </w:r>
          </w:p>
        </w:tc>
        <w:tc>
          <w:tcPr>
            <w:tcW w:type="dxa" w:w="119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5F6B76"/>
                <w:sz w:val="17"/>
              </w:rPr>
              <w:t>Pendente</w:t>
            </w:r>
          </w:p>
        </w:tc>
        <w:tc>
          <w:tcPr>
            <w:tcW w:type="dxa" w:w="3969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Revisão visual e contexto de reabertura.</w:t>
            </w:r>
          </w:p>
        </w:tc>
        <w:tc>
          <w:tcPr>
            <w:tcW w:type="dxa" w:w="2835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Definir regras de negócio para itens e lotes totalmente retirados.</w:t>
            </w:r>
          </w:p>
        </w:tc>
      </w:tr>
    </w:tbl>
    <w:p>
      <w:pPr>
        <w:spacing w:after="20"/>
      </w:pPr>
    </w:p>
    <w:p>
      <w:pPr>
        <w:pStyle w:val="Heading1"/>
      </w:pPr>
      <w:r>
        <w:t>Roteiro de avaliação</w:t>
      </w:r>
    </w:p>
    <w:p>
      <w:r>
        <w:t>A pessoa avaliadora pode usar a lista abaixo para registrar aceite, observações ou necessidade de ajuste antes da incorporação ao código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510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2F6F73"/>
              <w:left w:val="single" w:sz="6" w:space="0" w:color="2F6F73"/>
              <w:bottom w:val="single" w:sz="6" w:space="0" w:color="2F6F73"/>
              <w:right w:val="single" w:sz="6" w:space="0" w:color="2F6F73"/>
              <w:insideH w:val="single" w:sz="6" w:space="0" w:color="2F6F73"/>
              <w:insideV w:val="single" w:sz="6" w:space="0" w:color="2F6F73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</w:r>
          </w:p>
        </w:tc>
        <w:tc>
          <w:tcPr>
            <w:tcW w:type="dxa" w:w="3061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2F6F73"/>
              <w:left w:val="single" w:sz="6" w:space="0" w:color="2F6F73"/>
              <w:bottom w:val="single" w:sz="6" w:space="0" w:color="2F6F73"/>
              <w:right w:val="single" w:sz="6" w:space="0" w:color="2F6F73"/>
              <w:insideH w:val="single" w:sz="6" w:space="0" w:color="2F6F73"/>
              <w:insideV w:val="single" w:sz="6" w:space="0" w:color="2F6F73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Verificação</w:t>
            </w:r>
          </w:p>
        </w:tc>
        <w:tc>
          <w:tcPr>
            <w:tcW w:type="dxa" w:w="5556"/>
            <w:shd w:fill="2F6F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2F6F73"/>
              <w:left w:val="single" w:sz="6" w:space="0" w:color="2F6F73"/>
              <w:bottom w:val="single" w:sz="6" w:space="0" w:color="2F6F73"/>
              <w:right w:val="single" w:sz="6" w:space="0" w:color="2F6F73"/>
              <w:insideH w:val="single" w:sz="6" w:space="0" w:color="2F6F73"/>
              <w:insideV w:val="single" w:sz="6" w:space="0" w:color="2F6F73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Critério de aprovação</w:t>
            </w:r>
          </w:p>
        </w:tc>
      </w:tr>
      <w:tr>
        <w:tc>
          <w:tcPr>
            <w:tcW w:type="dxa" w:w="51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02124"/>
                <w:sz w:val="17"/>
              </w:rPr>
              <w:t>[ ]</w:t>
            </w:r>
          </w:p>
        </w:tc>
        <w:tc>
          <w:tcPr>
            <w:tcW w:type="dxa" w:w="306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Pipeline</w:t>
            </w:r>
          </w:p>
        </w:tc>
        <w:tc>
          <w:tcPr>
            <w:tcW w:type="dxa" w:w="55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Os editais mais próximos são identificáveis rapidamente e a data não fica escondida.</w:t>
            </w:r>
          </w:p>
        </w:tc>
      </w:tr>
      <w:tr>
        <w:tc>
          <w:tcPr>
            <w:tcW w:type="dxa" w:w="510"/>
            <w:shd w:fill="E9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02124"/>
                <w:sz w:val="17"/>
              </w:rPr>
              <w:t>[ ]</w:t>
            </w:r>
          </w:p>
        </w:tc>
        <w:tc>
          <w:tcPr>
            <w:tcW w:type="dxa" w:w="3061"/>
            <w:shd w:fill="E9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Card do edital</w:t>
            </w:r>
          </w:p>
        </w:tc>
        <w:tc>
          <w:tcPr>
            <w:tcW w:type="dxa" w:w="5556"/>
            <w:shd w:fill="E9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Portal, cidade, órgão, valor, documentação, itens, etapa e alertas estão agrupados sem aglutinação excessiva.</w:t>
            </w:r>
          </w:p>
        </w:tc>
      </w:tr>
      <w:tr>
        <w:tc>
          <w:tcPr>
            <w:tcW w:type="dxa" w:w="51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02124"/>
                <w:sz w:val="17"/>
              </w:rPr>
              <w:t>[ ]</w:t>
            </w:r>
          </w:p>
        </w:tc>
        <w:tc>
          <w:tcPr>
            <w:tcW w:type="dxa" w:w="306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Calendário</w:t>
            </w:r>
          </w:p>
        </w:tc>
        <w:tc>
          <w:tcPr>
            <w:tcW w:type="dxa" w:w="55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A lista lateral usa o mesmo padrão do card do Pipeline e mantém acesso direto ao popup.</w:t>
            </w:r>
          </w:p>
        </w:tc>
      </w:tr>
      <w:tr>
        <w:tc>
          <w:tcPr>
            <w:tcW w:type="dxa" w:w="510"/>
            <w:shd w:fill="E9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02124"/>
                <w:sz w:val="17"/>
              </w:rPr>
              <w:t>[ ]</w:t>
            </w:r>
          </w:p>
        </w:tc>
        <w:tc>
          <w:tcPr>
            <w:tcW w:type="dxa" w:w="3061"/>
            <w:shd w:fill="E9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Popup</w:t>
            </w:r>
          </w:p>
        </w:tc>
        <w:tc>
          <w:tcPr>
            <w:tcW w:type="dxa" w:w="5556"/>
            <w:shd w:fill="E9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A visão do edital é suficiente para consulta e o usuário consegue abrir a página completa em nova janela.</w:t>
            </w:r>
          </w:p>
        </w:tc>
      </w:tr>
      <w:tr>
        <w:tc>
          <w:tcPr>
            <w:tcW w:type="dxa" w:w="51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02124"/>
                <w:sz w:val="17"/>
              </w:rPr>
              <w:t>[ ]</w:t>
            </w:r>
          </w:p>
        </w:tc>
        <w:tc>
          <w:tcPr>
            <w:tcW w:type="dxa" w:w="306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Informações</w:t>
            </w:r>
          </w:p>
        </w:tc>
        <w:tc>
          <w:tcPr>
            <w:tcW w:type="dxa" w:w="55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Os campos são legíveis, editáveis individualmente e não exigem uma edição geral esquecível.</w:t>
            </w:r>
          </w:p>
        </w:tc>
      </w:tr>
      <w:tr>
        <w:tc>
          <w:tcPr>
            <w:tcW w:type="dxa" w:w="510"/>
            <w:shd w:fill="E9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02124"/>
                <w:sz w:val="17"/>
              </w:rPr>
              <w:t>[ ]</w:t>
            </w:r>
          </w:p>
        </w:tc>
        <w:tc>
          <w:tcPr>
            <w:tcW w:type="dxa" w:w="3061"/>
            <w:shd w:fill="E9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Itens</w:t>
            </w:r>
          </w:p>
        </w:tc>
        <w:tc>
          <w:tcPr>
            <w:tcW w:type="dxa" w:w="5556"/>
            <w:shd w:fill="E9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Itens em disputa e retirados ficam distinguíveis; o total do item aparece no rodapé do card.</w:t>
            </w:r>
          </w:p>
        </w:tc>
      </w:tr>
      <w:tr>
        <w:tc>
          <w:tcPr>
            <w:tcW w:type="dxa" w:w="51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02124"/>
                <w:sz w:val="17"/>
              </w:rPr>
              <w:t>[ ]</w:t>
            </w:r>
          </w:p>
        </w:tc>
        <w:tc>
          <w:tcPr>
            <w:tcW w:type="dxa" w:w="306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Ações</w:t>
            </w:r>
          </w:p>
        </w:tc>
        <w:tc>
          <w:tcPr>
            <w:tcW w:type="dxa" w:w="55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Ícones e nomes têm o mesmo significado no card e na página do edital.</w:t>
            </w:r>
          </w:p>
        </w:tc>
      </w:tr>
      <w:tr>
        <w:tc>
          <w:tcPr>
            <w:tcW w:type="dxa" w:w="510"/>
            <w:shd w:fill="E9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02124"/>
                <w:sz w:val="17"/>
              </w:rPr>
              <w:t>[ ]</w:t>
            </w:r>
          </w:p>
        </w:tc>
        <w:tc>
          <w:tcPr>
            <w:tcW w:type="dxa" w:w="3061"/>
            <w:shd w:fill="E9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Alertas</w:t>
            </w:r>
          </w:p>
        </w:tc>
        <w:tc>
          <w:tcPr>
            <w:tcW w:type="dxa" w:w="5556"/>
            <w:shd w:fill="E9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Riscos, prazos e pendências chamam atenção sem se misturar aos dados comuns.</w:t>
            </w:r>
          </w:p>
        </w:tc>
      </w:tr>
      <w:tr>
        <w:tc>
          <w:tcPr>
            <w:tcW w:type="dxa" w:w="510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02124"/>
                <w:sz w:val="17"/>
              </w:rPr>
              <w:t>[ ]</w:t>
            </w:r>
          </w:p>
        </w:tc>
        <w:tc>
          <w:tcPr>
            <w:tcW w:type="dxa" w:w="3061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Estados</w:t>
            </w:r>
          </w:p>
        </w:tc>
        <w:tc>
          <w:tcPr>
            <w:tcW w:type="dxa" w:w="555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Carregamento, vazio e ausência de registros parecem pertencer ao mesmo sistema.</w:t>
            </w:r>
          </w:p>
        </w:tc>
      </w:tr>
      <w:tr>
        <w:tc>
          <w:tcPr>
            <w:tcW w:type="dxa" w:w="510"/>
            <w:shd w:fill="E9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02124"/>
                <w:sz w:val="17"/>
              </w:rPr>
              <w:t>[ ]</w:t>
            </w:r>
          </w:p>
        </w:tc>
        <w:tc>
          <w:tcPr>
            <w:tcW w:type="dxa" w:w="3061"/>
            <w:shd w:fill="E9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Temas</w:t>
            </w:r>
          </w:p>
        </w:tc>
        <w:tc>
          <w:tcPr>
            <w:tcW w:type="dxa" w:w="5556"/>
            <w:shd w:fill="E9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202124"/>
                <w:sz w:val="17"/>
              </w:rPr>
              <w:t>Modo claro e modo escuro mantêm conforto visual e boa leitura.</w:t>
            </w:r>
          </w:p>
        </w:tc>
      </w:tr>
    </w:tbl>
    <w:p>
      <w:pPr>
        <w:spacing w:after="20"/>
      </w:pPr>
    </w:p>
    <w:p>
      <w:pPr>
        <w:pStyle w:val="Heading1"/>
      </w:pPr>
      <w:r>
        <w:t>Evidências técnicas</w:t>
      </w:r>
    </w:p>
    <w:p>
      <w:r>
        <w:t>As alterações estão disponíveis nas seguintes branches de avaliação:</w:t>
      </w:r>
    </w:p>
    <w:p>
      <w:pPr>
        <w:pStyle w:val="ListBullet"/>
        <w:spacing w:after="60"/>
        <w:ind w:left="255" w:hanging="142"/>
      </w:pPr>
      <w:r>
        <w:t>Branch fonte do CRM: codex/crm-layout-redesign</w:t>
      </w:r>
    </w:p>
    <w:p>
      <w:pPr>
        <w:pStyle w:val="ListBullet"/>
        <w:spacing w:after="60"/>
        <w:ind w:left="255" w:hanging="142"/>
      </w:pPr>
      <w:r>
        <w:t>Commit fonte: 2161d98 Padroniza estados vazios do CRM</w:t>
      </w:r>
    </w:p>
    <w:p>
      <w:pPr>
        <w:pStyle w:val="ListBullet"/>
        <w:spacing w:after="60"/>
        <w:ind w:left="255" w:hanging="142"/>
      </w:pPr>
      <w:r>
        <w:t>Branch do repositório principal: codex/crm-design-system-layout</w:t>
      </w:r>
    </w:p>
    <w:p>
      <w:pPr>
        <w:pStyle w:val="ListBullet"/>
        <w:spacing w:after="60"/>
        <w:ind w:left="255" w:hanging="142"/>
      </w:pPr>
      <w:r>
        <w:t>Commit principal: 936f706 Sincroniza estados vazios do CRM</w:t>
      </w:r>
    </w:p>
    <w:p>
      <w:pPr>
        <w:pStyle w:val="ListBullet"/>
        <w:spacing w:after="60"/>
        <w:ind w:left="255" w:hanging="142"/>
      </w:pPr>
      <w:r>
        <w:t>A main não foi alterada.</w:t>
      </w:r>
    </w:p>
    <w:p>
      <w:r>
        <w:t xml:space="preserve">Comparação da branch fonte no GitHub: </w:t>
      </w:r>
      <w:hyperlink r:id="rId11">
        <w:r>
          <w:rPr>
            <w:color w:val="0563C1"/>
            <w:u w:val="single"/>
          </w:rPr>
          <w:t>abrir comparação</w:t>
        </w:r>
      </w:hyperlink>
    </w:p>
    <w:p>
      <w:r>
        <w:t xml:space="preserve">Comparação da branch principal no GitHub: </w:t>
      </w:r>
      <w:hyperlink r:id="rId12">
        <w:r>
          <w:rPr>
            <w:color w:val="0563C1"/>
            <w:u w:val="single"/>
          </w:rPr>
          <w:t>abrir comparação</w:t>
        </w:r>
      </w:hyperlink>
    </w:p>
    <w:p>
      <w:pPr>
        <w:pStyle w:val="Heading1"/>
      </w:pPr>
      <w:r>
        <w:t>Validações realizadas</w:t>
      </w:r>
    </w:p>
    <w:p>
      <w:pPr>
        <w:pStyle w:val="ListBullet"/>
        <w:spacing w:after="60"/>
        <w:ind w:left="255" w:hanging="142"/>
      </w:pPr>
      <w:r>
        <w:t>TypeScript concluído sem erros.</w:t>
      </w:r>
    </w:p>
    <w:p>
      <w:pPr>
        <w:pStyle w:val="ListBullet"/>
        <w:spacing w:after="60"/>
        <w:ind w:left="255" w:hanging="142"/>
      </w:pPr>
      <w:r>
        <w:t>Build embarcado do CRM concluído com sucesso e sincronizado em frontend/public/crm.</w:t>
      </w:r>
    </w:p>
    <w:p>
      <w:pPr>
        <w:pStyle w:val="ListBullet"/>
        <w:spacing w:after="60"/>
        <w:ind w:left="255" w:hanging="142"/>
      </w:pPr>
      <w:r>
        <w:t>Preview do Pipeline validado com estados vazios, cards, alertas e status operacionais visíveis.</w:t>
      </w:r>
    </w:p>
    <w:p>
      <w:pPr>
        <w:pStyle w:val="ListBullet"/>
        <w:spacing w:after="60"/>
        <w:ind w:left="255" w:hanging="142"/>
      </w:pPr>
      <w:r>
        <w:t>Preview do Calendário validado com estado vazio para dia sem pregões e cards compartilhados.</w:t>
      </w:r>
    </w:p>
    <w:p>
      <w:pPr>
        <w:pStyle w:val="ListBullet"/>
        <w:spacing w:after="60"/>
        <w:ind w:left="255" w:hanging="142"/>
      </w:pPr>
      <w:r>
        <w:t>Lint ainda registra um erro preexistente em src/lib/local-preview.ts e um aviso no hook useCrmNotices.ts; esses pontos não pertencem ao lote do redesign documentado aqui.</w:t>
      </w:r>
    </w:p>
    <w:p>
      <w:pPr>
        <w:pStyle w:val="Heading1"/>
      </w:pPr>
      <w:r>
        <w:t>Próximo passo recomendado</w:t>
      </w:r>
    </w:p>
    <w:p>
      <w:r>
        <w:t>Iniciar a etapa 4.18, validando o comportamento em larguras menores antes de iniciar a revisão de acessibilidade. Essa ordem permite corrigir problemas de espaço, quebra de texto e scroll enquanto a estrutura visual ainda está fresca para a avaliação.</w:t>
      </w:r>
    </w:p>
    <w:p>
      <w:r>
        <w:t>Após a aprovação visual e funcional deste relatório, os ajustes aprovados podem ser incorporados ao fluxo de produção por meio de pull request para a main.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35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6"/>
        <w:sz w:val="16"/>
      </w:rPr>
      <w:t xml:space="preserve">Avaliação pré-produção  | 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F6B76"/>
        <w:sz w:val="16"/>
      </w:rPr>
      <w:t>CRM Comercial  |  Documento de acompanhamento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21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21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F6F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0212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LuizH-Paiva/bid-buddy/compare/main...codex/crm-layout-redesign?expand=1" TargetMode="External"/><Relationship Id="rId12" Type="http://schemas.openxmlformats.org/officeDocument/2006/relationships/hyperlink" Target="https://github.com/alvarosamp/RagMatchAvancado/compare/main...codex/crm-design-system-layout?expand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