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jc w:val="center"/>
      </w:pPr>
      <w:r>
        <w:rPr>
          <w:rFonts w:ascii="Times New Roman" w:hAnsi="Times New Roman"/>
          <w:b/>
          <w:i w:val="0"/>
          <w:sz w:val="32"/>
        </w:rPr>
        <w:t>Evidence-Grounded Hybrid RAG for Technical Compliance Matching in Public Procurement</w:t>
      </w:r>
    </w:p>
    <w:p>
      <w:pPr>
        <w:spacing w:after="180"/>
        <w:jc w:val="center"/>
      </w:pPr>
      <w:r>
        <w:rPr>
          <w:rFonts w:ascii="Times New Roman" w:hAnsi="Times New Roman"/>
          <w:b w:val="0"/>
          <w:i w:val="0"/>
          <w:sz w:val="18"/>
        </w:rPr>
        <w:t>Anonymous Author | AI Engineering Practice | Manuscript for anonymous review</w:t>
      </w:r>
    </w:p>
    <w:p>
      <w:pPr>
        <w:sectPr>
          <w:footerReference w:type="default" r:id="rId9"/>
          <w:pgSz w:w="12240" w:h="15840"/>
          <w:pgMar w:top="792" w:right="864" w:bottom="792" w:left="864" w:header="720" w:footer="720" w:gutter="0"/>
          <w:cols w:space="300" w:num="1"/>
          <w:docGrid w:linePitch="360"/>
        </w:sectPr>
      </w:pPr>
    </w:p>
    <w:p>
      <w:pPr>
        <w:spacing w:after="60"/>
        <w:jc w:val="both"/>
      </w:pPr>
      <w:r>
        <w:rPr>
          <w:rFonts w:ascii="Times New Roman" w:hAnsi="Times New Roman"/>
          <w:b/>
          <w:i w:val="0"/>
          <w:sz w:val="16"/>
        </w:rPr>
        <w:t xml:space="preserve">Abstract- </w:t>
      </w:r>
      <w:r>
        <w:rPr>
          <w:rFonts w:ascii="Times New Roman" w:hAnsi="Times New Roman"/>
          <w:b w:val="0"/>
          <w:i w:val="0"/>
          <w:sz w:val="16"/>
        </w:rPr>
        <w:t>Technical compliance assessment in public procurement requires comparing heterogeneous product specifications against long, semi-structured tender documents. This paper presents the design of an evidence-grounded hybrid retrieval-augmented generation (RAG) architecture for that task. The system retrieves tender passages with pgvector, applies deterministic attribute comparators, and asks a local language model for a constrained semantic judgment and explanation. A rule-aware aggregation layer assigns different weights to attribute classes, blocks compliance when a critical physical incompatibility is found, and caps positive judgments when catalog evidence is missing. The contribution is an operationally deployable pattern that keeps model reasoning connected to document evidence while preserving domain rules that should not be overridden by a generative model. We report the implemented design, failure controls, and a reproducible evaluation protocol; no unverified performance figures are claimed.</w:t>
      </w:r>
    </w:p>
    <w:p>
      <w:pPr>
        <w:spacing w:after="100"/>
        <w:jc w:val="both"/>
      </w:pPr>
      <w:r>
        <w:rPr>
          <w:rFonts w:ascii="Times New Roman" w:hAnsi="Times New Roman"/>
          <w:b/>
          <w:i w:val="0"/>
          <w:sz w:val="16"/>
        </w:rPr>
        <w:t xml:space="preserve">Index Terms- </w:t>
      </w:r>
      <w:r>
        <w:rPr>
          <w:rFonts w:ascii="Times New Roman" w:hAnsi="Times New Roman"/>
          <w:b w:val="0"/>
          <w:i/>
          <w:sz w:val="16"/>
        </w:rPr>
        <w:t>retrieval-augmented generation, public procurement, compliance matching, large language models, explainable AI</w:t>
      </w:r>
    </w:p>
    <w:p>
      <w:pPr>
        <w:keepNext/>
        <w:spacing w:before="100" w:after="40"/>
        <w:jc w:val="center"/>
      </w:pPr>
      <w:r>
        <w:rPr>
          <w:rFonts w:ascii="Times New Roman" w:hAnsi="Times New Roman"/>
          <w:b/>
          <w:i w:val="0"/>
          <w:sz w:val="18"/>
        </w:rPr>
        <w:t>I. INTRODUCTION</w:t>
      </w:r>
    </w:p>
    <w:p>
      <w:pPr>
        <w:spacing w:after="40" w:line="240" w:lineRule="auto"/>
        <w:jc w:val="both"/>
      </w:pPr>
      <w:r>
        <w:rPr>
          <w:rFonts w:ascii="Times New Roman" w:hAnsi="Times New Roman"/>
          <w:b w:val="0"/>
          <w:i w:val="0"/>
          <w:sz w:val="18"/>
        </w:rPr>
        <w:t>Procurement teams must decide whether catalogued products satisfy a tender's technical requirements. The task is deceptively difficult: a requirement can be expressed in prose, a table, an annex, or an OCR-impaired page; product catalogs often use different field names and units. A purely lexical approach misses semantic equivalence, whereas an unconstrained LLM can overstate compliance. In public procurement, such an error is consequential because a favorable recommendation must be traceable to evidence.</w:t>
        <w:br/>
        <w:br/>
        <w:t>This work describes an implemented system, Edital Matcher, for ranking catalog products against extracted tender requirements. Its central proposition is that retrieval, deterministic constraints, and LLM reasoning should cooperate rather than compete. The approach builds on RAG [1], but makes two domain-specific additions: hard incompatibility gates and an evidence-missing policy. The result is not a claim of universal procurement accuracy; it is an engineering contribution and evaluation-ready baseline for evidence-grounded technical matching.</w:t>
      </w:r>
    </w:p>
    <w:p>
      <w:pPr>
        <w:keepNext/>
        <w:spacing w:before="100" w:after="40"/>
        <w:jc w:val="center"/>
      </w:pPr>
      <w:r>
        <w:rPr>
          <w:rFonts w:ascii="Times New Roman" w:hAnsi="Times New Roman"/>
          <w:b/>
          <w:i w:val="0"/>
          <w:sz w:val="18"/>
        </w:rPr>
        <w:t>II. SYSTEM DESIGN</w:t>
      </w:r>
    </w:p>
    <w:p>
      <w:pPr>
        <w:spacing w:after="40" w:line="240" w:lineRule="auto"/>
        <w:jc w:val="both"/>
      </w:pPr>
      <w:r>
        <w:rPr>
          <w:rFonts w:ascii="Times New Roman" w:hAnsi="Times New Roman"/>
          <w:b w:val="0"/>
          <w:i w:val="0"/>
          <w:sz w:val="18"/>
        </w:rPr>
        <w:t>The ingestion path converts tender PDFs into structured text and chunks through Docling [2], stores embeddings in PostgreSQL/pgvector, and exposes the process through an asynchronous FastAPI application. For every product-requirement pair, the matcher retrieves the four closest tender chunks using a query composed from the attribute name and requested value. The retrieved passages are supplied as evidence to the model alongside the catalog specification.</w:t>
        <w:br/>
        <w:br/>
        <w:t>A deterministic comparator then extracts and compares values for fields such as voltage, temperature, PoE budget, port count, speed, and uplinks. Its score is combined with the LLM score as 0.3 times the rule signal plus 0.7 times the semantic signal. This weighting is intentionally configurable and must be calibrated on labeled data. The local model is configurable; the deployment defaults to Llama 3.2 through Ollama, while the architectural argument is model-agnostic [3].</w:t>
      </w:r>
    </w:p>
    <w:p>
      <w:pPr>
        <w:keepNext/>
        <w:spacing w:before="100" w:after="40"/>
        <w:jc w:val="center"/>
      </w:pPr>
      <w:r>
        <w:rPr>
          <w:rFonts w:ascii="Times New Roman" w:hAnsi="Times New Roman"/>
          <w:b/>
          <w:i w:val="0"/>
          <w:sz w:val="18"/>
        </w:rPr>
        <w:t>III. SAFETY-ORIENTED DECISION POLICY</w:t>
      </w:r>
    </w:p>
    <w:p>
      <w:pPr>
        <w:spacing w:after="40" w:line="240" w:lineRule="auto"/>
        <w:jc w:val="both"/>
      </w:pPr>
      <w:r>
        <w:rPr>
          <w:rFonts w:ascii="Times New Roman" w:hAnsi="Times New Roman"/>
          <w:b w:val="0"/>
          <w:i w:val="0"/>
          <w:sz w:val="18"/>
        </w:rPr>
        <w:t>The aggregation layer prevents the language model from converting a physical contradiction into a positive recommendation. A critical failure, currently defined for voltage and temperature incompatibility, forces the item score to zero and the product status to NOT COMPLIANT. An absent catalog field receives an uncertainty score and the final value is capped below the COMPLIANT threshold. The three operational labels are COMPLIANT for scores at least 0.75, REVIEW for scores from 0.45 to 0.75, and NOT COMPLIANT below 0.45.</w:t>
        <w:br/>
        <w:br/>
        <w:t>The product-level score is a weighted mean of requirement scores. Critical attributes are assigned larger weights than generic metadata; more importantly, a critical failure propagates to the product-level status even if the mean score is high. The decision record persists the required value, catalog value, rule score, model score, final score, retrieved context, and textual explanation. This creates an audit object for a human reviewer rather than treating a score as self-justifying.</w:t>
      </w:r>
    </w:p>
    <w:p>
      <w:pPr>
        <w:keepNext/>
        <w:spacing w:before="100" w:after="40"/>
        <w:jc w:val="center"/>
      </w:pPr>
      <w:r>
        <w:rPr>
          <w:rFonts w:ascii="Times New Roman" w:hAnsi="Times New Roman"/>
          <w:b/>
          <w:i w:val="0"/>
          <w:sz w:val="18"/>
        </w:rPr>
        <w:t>IV. EVALUATION PROTOCOL</w:t>
      </w:r>
    </w:p>
    <w:p>
      <w:pPr>
        <w:spacing w:after="40" w:line="240" w:lineRule="auto"/>
        <w:jc w:val="both"/>
      </w:pPr>
      <w:r>
        <w:rPr>
          <w:rFonts w:ascii="Times New Roman" w:hAnsi="Times New Roman"/>
          <w:b w:val="0"/>
          <w:i w:val="0"/>
          <w:sz w:val="18"/>
        </w:rPr>
        <w:t>The current repository contains unit tests for missing-data handling, critical voltage failures, weighted aggregation, and status propagation. These tests validate control-flow invariants, not field accuracy. A publication-grade evaluation should create a stratified, double-annotated corpus of tender requirements and catalog entries across product families. For each pair, annotators should label compliant, non-compliant, insufficient evidence, and critical incompatibility.</w:t>
        <w:br/>
        <w:br/>
        <w:t>The primary metrics are macro-F1 over the three decision labels, critical-failure recall, calibration error, evidence sufficiency rate, and reviewer override rate. Comparisons should include lexical retrieval plus rules, RAG plus LLM without gates, rules only, and the full hybrid system. Ablations should remove retrieval, critical gates, and missing-data capping separately. Reporting latency, token usage, and disagreement analysis is essential because a procurement deployment is an operational decision aid, not only a classifier.</w:t>
      </w:r>
    </w:p>
    <w:p>
      <w:pPr>
        <w:keepNext/>
        <w:spacing w:before="100" w:after="40"/>
        <w:jc w:val="center"/>
      </w:pPr>
      <w:r>
        <w:rPr>
          <w:rFonts w:ascii="Times New Roman" w:hAnsi="Times New Roman"/>
          <w:b/>
          <w:i w:val="0"/>
          <w:sz w:val="18"/>
        </w:rPr>
        <w:t>V. DISCUSSION AND LIMITATIONS</w:t>
      </w:r>
    </w:p>
    <w:p>
      <w:pPr>
        <w:spacing w:after="40" w:line="240" w:lineRule="auto"/>
        <w:jc w:val="both"/>
      </w:pPr>
      <w:r>
        <w:rPr>
          <w:rFonts w:ascii="Times New Roman" w:hAnsi="Times New Roman"/>
          <w:b w:val="0"/>
          <w:i w:val="0"/>
          <w:sz w:val="18"/>
        </w:rPr>
        <w:t>The architecture makes conservative choices: it prefers REVIEW when catalog evidence is incomplete, and it lets domain rules veto generative judgments. This reduces a known failure mode of fluent but unsupported LLM explanations. It does not eliminate risks from OCR errors, incorrect requirement extraction, ambiguous tender language, catalog staleness, or poorly calibrated weights. The system should therefore retain a human approval step for bids and preserve the cited source fragments in every recommendation.</w:t>
        <w:br/>
        <w:br/>
        <w:t>Future work should evaluate multilingual embedding models, learn attribute-specific thresholds from adjudicated examples, and test retrieval robustness on scans and multi-page tables. A controlled user study can measure whether evidence-linked explanations reduce review time without increasing false approvals.</w:t>
      </w:r>
    </w:p>
    <w:p>
      <w:pPr>
        <w:keepNext/>
        <w:spacing w:before="100" w:after="40"/>
        <w:jc w:val="center"/>
      </w:pPr>
      <w:r>
        <w:rPr>
          <w:rFonts w:ascii="Times New Roman" w:hAnsi="Times New Roman"/>
          <w:b/>
          <w:i w:val="0"/>
          <w:sz w:val="18"/>
        </w:rPr>
        <w:t>VI. CONCLUSION</w:t>
      </w:r>
    </w:p>
    <w:p>
      <w:pPr>
        <w:spacing w:after="40" w:line="240" w:lineRule="auto"/>
        <w:jc w:val="both"/>
      </w:pPr>
      <w:r>
        <w:rPr>
          <w:rFonts w:ascii="Times New Roman" w:hAnsi="Times New Roman"/>
          <w:b w:val="0"/>
          <w:i w:val="0"/>
          <w:sz w:val="18"/>
        </w:rPr>
        <w:t>This paper introduced a hybrid RAG architecture for technical compliance matching that combines retrieval, deterministic comparison, and constrained LLM reasoning. Its contribution is a practical policy for critical incompatibilities and absent evidence, together with an evaluation plan that separates implementation tests from empirical accuracy claims. The design is intended to support accountable human procurement decisions rather than automate them without review.</w:t>
      </w:r>
    </w:p>
    <w:p>
      <w:pPr>
        <w:spacing w:before="100" w:after="40"/>
        <w:jc w:val="center"/>
      </w:pPr>
      <w:r>
        <w:rPr>
          <w:rFonts w:ascii="Times New Roman" w:hAnsi="Times New Roman"/>
          <w:b/>
          <w:i w:val="0"/>
          <w:sz w:val="18"/>
        </w:rPr>
        <w:t>REFERENCES</w:t>
      </w:r>
    </w:p>
    <w:p>
      <w:pPr>
        <w:spacing w:after="20"/>
        <w:ind w:left="187" w:hanging="187"/>
        <w:jc w:val="both"/>
      </w:pPr>
      <w:r>
        <w:rPr>
          <w:rFonts w:ascii="Times New Roman" w:hAnsi="Times New Roman"/>
          <w:b w:val="0"/>
          <w:i w:val="0"/>
          <w:sz w:val="16"/>
        </w:rPr>
        <w:t>[1] P. Lewis et al., "Retrieval-Augmented Generation for Knowledge-Intensive NLP Tasks," in Advances in Neural Information Processing Systems, vol. 33, 2020.</w:t>
      </w:r>
    </w:p>
    <w:p>
      <w:pPr>
        <w:spacing w:after="20"/>
        <w:ind w:left="187" w:hanging="187"/>
        <w:jc w:val="both"/>
      </w:pPr>
      <w:r>
        <w:rPr>
          <w:rFonts w:ascii="Times New Roman" w:hAnsi="Times New Roman"/>
          <w:b w:val="0"/>
          <w:i w:val="0"/>
          <w:sz w:val="16"/>
        </w:rPr>
        <w:t>[2] S. Deep et al., "Docling: An Efficient Open-Source Toolkit for AI-Driven Document Conversion," arXiv:2501.17887, 2025.</w:t>
      </w:r>
    </w:p>
    <w:p>
      <w:pPr>
        <w:spacing w:after="20"/>
        <w:ind w:left="187" w:hanging="187"/>
        <w:jc w:val="both"/>
      </w:pPr>
      <w:r>
        <w:rPr>
          <w:rFonts w:ascii="Times New Roman" w:hAnsi="Times New Roman"/>
          <w:b w:val="0"/>
          <w:i w:val="0"/>
          <w:sz w:val="16"/>
        </w:rPr>
        <w:t>[3] A. Dubey et al., "The Llama 3 Herd of Models," arXiv:2407.21783, 2024.</w:t>
      </w:r>
    </w:p>
    <w:p>
      <w:pPr>
        <w:spacing w:after="20"/>
        <w:ind w:left="187" w:hanging="187"/>
        <w:jc w:val="both"/>
      </w:pPr>
      <w:r>
        <w:rPr>
          <w:rFonts w:ascii="Times New Roman" w:hAnsi="Times New Roman"/>
          <w:b w:val="0"/>
          <w:i w:val="0"/>
          <w:sz w:val="16"/>
        </w:rPr>
        <w:t>[4] M. Zaharia et al., "Accelerating the Machine Learning Lifecycle with MLflow," IEEE Data Engineering Bulletin, vol. 41, no. 4, pp. 39-45, 2018.</w:t>
      </w:r>
    </w:p>
    <w:p>
      <w:pPr>
        <w:spacing w:after="20"/>
        <w:ind w:left="187" w:hanging="187"/>
        <w:jc w:val="both"/>
      </w:pPr>
      <w:r>
        <w:rPr>
          <w:rFonts w:ascii="Times New Roman" w:hAnsi="Times New Roman"/>
          <w:b w:val="0"/>
          <w:i w:val="0"/>
          <w:sz w:val="16"/>
        </w:rPr>
        <w:t>[5] D. Sculley et al., "Hidden Technical Debt in Machine Learning Systems," in Advances in Neural Information Processing Systems, vol. 28, 2015.</w:t>
      </w:r>
    </w:p>
    <w:p>
      <w:pPr>
        <w:spacing w:after="20"/>
        <w:ind w:left="187" w:hanging="187"/>
        <w:jc w:val="both"/>
      </w:pPr>
      <w:r>
        <w:rPr>
          <w:rFonts w:ascii="Times New Roman" w:hAnsi="Times New Roman"/>
          <w:b w:val="0"/>
          <w:i w:val="0"/>
          <w:sz w:val="16"/>
        </w:rPr>
        <w:t>[6] NIST, Artificial Intelligence Risk Management Framework (AI RMF 1.0), NIST AI 100-1, Jan. 2023.</w:t>
      </w:r>
    </w:p>
    <w:p>
      <w:pPr>
        <w:spacing w:after="20"/>
        <w:ind w:left="187" w:hanging="187"/>
        <w:jc w:val="both"/>
      </w:pPr>
      <w:r>
        <w:rPr>
          <w:rFonts w:ascii="Times New Roman" w:hAnsi="Times New Roman"/>
          <w:b w:val="0"/>
          <w:i w:val="0"/>
          <w:sz w:val="16"/>
        </w:rPr>
        <w:t>[7] Brazil, Lei no. 14.133, de 1 de abril de 2021: Lei de Licitacoes e Contratos Administrativos, Diario Oficial da Uniao, 2021.</w:t>
      </w:r>
    </w:p>
    <w:sectPr w:rsidR="00FC693F" w:rsidRPr="0006063C" w:rsidSect="00034616">
      <w:type w:val="continuous"/>
      <w:pgSz w:w="12240" w:h="15840"/>
      <w:pgMar w:top="792" w:right="864" w:bottom="792" w:left="864"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sz w:val="14"/>
      </w:rPr>
      <w:t>Draft manuscript - replace anonymous affiliation and validate results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Evidence-Grounded Hybrid RAG for Technical Compliance Matching in Public Procurement</dc:title>
  <dc:subject/>
  <dc:creator>Anonymous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