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jc w:val="center"/>
      </w:pPr>
      <w:r>
        <w:rPr>
          <w:rFonts w:ascii="Times New Roman" w:hAnsi="Times New Roman"/>
          <w:b/>
          <w:i w:val="0"/>
          <w:sz w:val="32"/>
        </w:rPr>
        <w:t>Constraint-Guided Extraction of Structured Items from Public Procurement Award Minutes</w:t>
      </w:r>
    </w:p>
    <w:p>
      <w:pPr>
        <w:spacing w:after="180"/>
        <w:jc w:val="center"/>
      </w:pPr>
      <w:r>
        <w:rPr>
          <w:rFonts w:ascii="Times New Roman" w:hAnsi="Times New Roman"/>
          <w:b w:val="0"/>
          <w:i w:val="0"/>
          <w:sz w:val="18"/>
        </w:rPr>
        <w:t>Anonymous Author | AI Engineering Practice | Manuscript for anonymous review</w:t>
      </w:r>
    </w:p>
    <w:p>
      <w:pPr>
        <w:sectPr>
          <w:footerReference w:type="default" r:id="rId9"/>
          <w:pgSz w:w="12240" w:h="15840"/>
          <w:pgMar w:top="792" w:right="864" w:bottom="792" w:left="864" w:header="720" w:footer="720" w:gutter="0"/>
          <w:cols w:space="300" w:num="1"/>
          <w:docGrid w:linePitch="360"/>
        </w:sectPr>
      </w:pPr>
    </w:p>
    <w:p>
      <w:pPr>
        <w:spacing w:after="60"/>
        <w:jc w:val="both"/>
      </w:pPr>
      <w:r>
        <w:rPr>
          <w:rFonts w:ascii="Times New Roman" w:hAnsi="Times New Roman"/>
          <w:b/>
          <w:i w:val="0"/>
          <w:sz w:val="16"/>
        </w:rPr>
        <w:t xml:space="preserve">Abstract- </w:t>
      </w:r>
      <w:r>
        <w:rPr>
          <w:rFonts w:ascii="Times New Roman" w:hAnsi="Times New Roman"/>
          <w:b w:val="0"/>
          <w:i w:val="0"/>
          <w:sz w:val="16"/>
        </w:rPr>
        <w:t>Award minutes and procurement records contain valuable market and supplier information, yet their PDFs frequently mix tables, headers, footers, scans, and page breaks. This paper presents a constraint-guided extraction pipeline implemented for Brazilian procurement minutes. The pipeline uses layout-aware document conversion, normalization before semantic extraction, chunked LLM calls with JSON output, and post-processing constraints for lot-item relations and duplicate removal. A page-break repair mechanism reconnects an item identifier at the end of one page to an orphaned description at the beginning of the next. The paper contributes a practical decomposition of the failure modes and a benchmark protocol for validating item-level extraction. The description is based on the implemented pipeline and intentionally does not report unsupported accuracy numbers.</w:t>
      </w:r>
    </w:p>
    <w:p>
      <w:pPr>
        <w:spacing w:after="100"/>
        <w:jc w:val="both"/>
      </w:pPr>
      <w:r>
        <w:rPr>
          <w:rFonts w:ascii="Times New Roman" w:hAnsi="Times New Roman"/>
          <w:b/>
          <w:i w:val="0"/>
          <w:sz w:val="16"/>
        </w:rPr>
        <w:t xml:space="preserve">Index Terms- </w:t>
      </w:r>
      <w:r>
        <w:rPr>
          <w:rFonts w:ascii="Times New Roman" w:hAnsi="Times New Roman"/>
          <w:b w:val="0"/>
          <w:i/>
          <w:sz w:val="16"/>
        </w:rPr>
        <w:t>document intelligence, information extraction, public procurement, layout-aware parsing, large language models</w:t>
      </w:r>
    </w:p>
    <w:p>
      <w:pPr>
        <w:keepNext/>
        <w:spacing w:before="100" w:after="40"/>
        <w:jc w:val="center"/>
      </w:pPr>
      <w:r>
        <w:rPr>
          <w:rFonts w:ascii="Times New Roman" w:hAnsi="Times New Roman"/>
          <w:b/>
          <w:i w:val="0"/>
          <w:sz w:val="18"/>
        </w:rPr>
        <w:t>I. INTRODUCTION</w:t>
      </w:r>
    </w:p>
    <w:p>
      <w:pPr>
        <w:spacing w:after="40" w:line="240" w:lineRule="auto"/>
        <w:jc w:val="both"/>
      </w:pPr>
      <w:r>
        <w:rPr>
          <w:rFonts w:ascii="Times New Roman" w:hAnsi="Times New Roman"/>
          <w:b w:val="0"/>
          <w:i w:val="0"/>
          <w:sz w:val="18"/>
        </w:rPr>
        <w:t>Public procurement award minutes are a rich but difficult source of structured information: item number, product description, quantity, unit, price, supplier, lot, and contract metadata. Manual transcription is slow and poorly scalable. Conventional OCR alone produces text but often loses the structural relation required to answer basic questions such as which lot an item belongs to.</w:t>
        <w:br/>
        <w:br/>
        <w:t>This paper studies an implemented extraction pipeline for Portuguese procurement minutes. The central design choice is to treat LLM extraction as one stage of a constrained document-processing workflow, not as a direct replacement for parsing. Layout-aware conversion, normalization, local repairs, schema validation, and deduplication provide the structure around the model. This is especially important for documents where one table row crosses a page boundary.</w:t>
      </w:r>
    </w:p>
    <w:p>
      <w:pPr>
        <w:keepNext/>
        <w:spacing w:before="100" w:after="40"/>
        <w:jc w:val="center"/>
      </w:pPr>
      <w:r>
        <w:rPr>
          <w:rFonts w:ascii="Times New Roman" w:hAnsi="Times New Roman"/>
          <w:b/>
          <w:i w:val="0"/>
          <w:sz w:val="18"/>
        </w:rPr>
        <w:t>II. PIPELINE</w:t>
      </w:r>
    </w:p>
    <w:p>
      <w:pPr>
        <w:spacing w:after="40" w:line="240" w:lineRule="auto"/>
        <w:jc w:val="both"/>
      </w:pPr>
      <w:r>
        <w:rPr>
          <w:rFonts w:ascii="Times New Roman" w:hAnsi="Times New Roman"/>
          <w:b w:val="0"/>
          <w:i w:val="0"/>
          <w:sz w:val="18"/>
        </w:rPr>
        <w:t>The pipeline begins with PDF conversion and layout-aware text extraction using Docling [1]. The parser logs page-level chunk counts, omits repeated labels such as page headers and footers, normalizes marker placement, and records timing diagnostics. These controls make it possible to discover silent losses before a language model is called.</w:t>
        <w:br/>
        <w:br/>
        <w:t>Normalized text is split into bounded chunks and submitted to an LLM with a JSON-oriented schema. Chunk results are merged into a single document record. The schema includes document metadata and a list of procurement items. A model can supply semantic normalization and interpret varied textual formats, but it is not trusted as the sole authority for identifiers or sequence constraints. The approach follows the general view that document conversion requires both textual and layout information [1], while using a language model only after the evidence has been made inspectable.</w:t>
      </w:r>
    </w:p>
    <w:p>
      <w:pPr>
        <w:keepNext/>
        <w:spacing w:before="100" w:after="40"/>
        <w:jc w:val="center"/>
      </w:pPr>
      <w:r>
        <w:rPr>
          <w:rFonts w:ascii="Times New Roman" w:hAnsi="Times New Roman"/>
          <w:b/>
          <w:i w:val="0"/>
          <w:sz w:val="18"/>
        </w:rPr>
        <w:t>III. CONSTRAINT-GUIDED REPAIRS</w:t>
      </w:r>
    </w:p>
    <w:p>
      <w:pPr>
        <w:spacing w:after="40" w:line="240" w:lineRule="auto"/>
        <w:jc w:val="both"/>
      </w:pPr>
      <w:r>
        <w:rPr>
          <w:rFonts w:ascii="Times New Roman" w:hAnsi="Times New Roman"/>
          <w:b w:val="0"/>
          <w:i w:val="0"/>
          <w:sz w:val="18"/>
        </w:rPr>
        <w:t>The most concrete failure handled by the implementation is a table row divided by pagination. A first page may end with an item label, unit, and brand, while the next page begins with an unnumbered description. The pre-LLM repair scans for this pattern and injects the unresolved identifier before the orphaned description. The extraction prompt separately instructs the model to infer sequence only when document context supports it.</w:t>
        <w:br/>
        <w:br/>
        <w:t>After extraction, the pipeline removes lot-header pseudo-items, infers lot-to-item mappings from document context, appends the inferred lot to item observations, and deduplicates entries by normalized description. These steps are explicit rules because they concern document consistency. They avoid calling a generative model a second time merely to correct a deterministic structural defect. The final output is JSON and can be exported to a consolidated tabular representation with document metadata repeated per item for downstream procurement analysis.</w:t>
      </w:r>
    </w:p>
    <w:p>
      <w:pPr>
        <w:keepNext/>
        <w:spacing w:before="100" w:after="40"/>
        <w:jc w:val="center"/>
      </w:pPr>
      <w:r>
        <w:rPr>
          <w:rFonts w:ascii="Times New Roman" w:hAnsi="Times New Roman"/>
          <w:b/>
          <w:i w:val="0"/>
          <w:sz w:val="18"/>
        </w:rPr>
        <w:t>IV. EXPERIMENTAL DESIGN</w:t>
      </w:r>
    </w:p>
    <w:p>
      <w:pPr>
        <w:spacing w:after="40" w:line="240" w:lineRule="auto"/>
        <w:jc w:val="both"/>
      </w:pPr>
      <w:r>
        <w:rPr>
          <w:rFonts w:ascii="Times New Roman" w:hAnsi="Times New Roman"/>
          <w:b w:val="0"/>
          <w:i w:val="0"/>
          <w:sz w:val="18"/>
        </w:rPr>
        <w:t>A defensible evaluation should sample minutes across native PDFs, scanned PDFs, short single-page records, multi-page tables, and multiple issuing organizations. Each document must receive a human gold record with item boundaries and normalized fields. Evaluation should measure document-level metadata exact match; item-level precision, recall, and F1 after bipartite item matching; field-level exact and normalized match; duplicate rate; and page-break recovery recall.</w:t>
        <w:br/>
        <w:br/>
        <w:t>Ablations should compare raw OCR plus LLM, layout-aware conversion plus LLM, the pipeline without page-break repair, and the complete constraint-guided workflow. The error taxonomy should distinguish conversion loss, row-split loss, item-number hallucination, lot assignment error, header contamination, and duplicate generation. This protocol allows a reader to determine whether an improvement comes from conversion, prompting, or deterministic post-processing.</w:t>
      </w:r>
    </w:p>
    <w:p>
      <w:pPr>
        <w:keepNext/>
        <w:spacing w:before="100" w:after="40"/>
        <w:jc w:val="center"/>
      </w:pPr>
      <w:r>
        <w:rPr>
          <w:rFonts w:ascii="Times New Roman" w:hAnsi="Times New Roman"/>
          <w:b/>
          <w:i w:val="0"/>
          <w:sz w:val="18"/>
        </w:rPr>
        <w:t>V. OPERATIONAL CONSIDERATIONS</w:t>
      </w:r>
    </w:p>
    <w:p>
      <w:pPr>
        <w:spacing w:after="40" w:line="240" w:lineRule="auto"/>
        <w:jc w:val="both"/>
      </w:pPr>
      <w:r>
        <w:rPr>
          <w:rFonts w:ascii="Times New Roman" w:hAnsi="Times New Roman"/>
          <w:b w:val="0"/>
          <w:i w:val="0"/>
          <w:sz w:val="18"/>
        </w:rPr>
        <w:t>The implementation records per-page parsing diagnostics and total language-model token use. Such telemetry supports cost and failure investigation but is not a substitute for accuracy measurement. In production, the system should retain source page references and prompt/model versions for each extracted record. Failed JSON responses must be surfaced, not silently replaced with plausible output.</w:t>
        <w:br/>
        <w:br/>
        <w:t>The method also has boundaries. It cannot guarantee correctness when source scans are unreadable or when the minute itself is internally inconsistent. An LLM may still create semantic errors despite structured output. For sensitive commercial or administrative decisions, extracted records need a reviewer workflow and a clear distinction between source text, inferred values, and normalized fields.</w:t>
      </w:r>
    </w:p>
    <w:p>
      <w:pPr>
        <w:keepNext/>
        <w:spacing w:before="100" w:after="40"/>
        <w:jc w:val="center"/>
      </w:pPr>
      <w:r>
        <w:rPr>
          <w:rFonts w:ascii="Times New Roman" w:hAnsi="Times New Roman"/>
          <w:b/>
          <w:i w:val="0"/>
          <w:sz w:val="18"/>
        </w:rPr>
        <w:t>VI. CONCLUSION</w:t>
      </w:r>
    </w:p>
    <w:p>
      <w:pPr>
        <w:spacing w:after="40" w:line="240" w:lineRule="auto"/>
        <w:jc w:val="both"/>
      </w:pPr>
      <w:r>
        <w:rPr>
          <w:rFonts w:ascii="Times New Roman" w:hAnsi="Times New Roman"/>
          <w:b w:val="0"/>
          <w:i w:val="0"/>
          <w:sz w:val="18"/>
        </w:rPr>
        <w:t>Constraint-guided extraction combines layout-aware conversion, schema-constrained LLM extraction, page-break repair, lot inference, and deduplication. The architecture provides a reproducible answer to common document failures while preserving a path to empirical measurement. The next research step is a labeled benchmark of procurement minutes and a comparison with document-information-extraction baselines.</w:t>
      </w:r>
    </w:p>
    <w:p>
      <w:pPr>
        <w:spacing w:before="100" w:after="40"/>
        <w:jc w:val="center"/>
      </w:pPr>
      <w:r>
        <w:rPr>
          <w:rFonts w:ascii="Times New Roman" w:hAnsi="Times New Roman"/>
          <w:b/>
          <w:i w:val="0"/>
          <w:sz w:val="18"/>
        </w:rPr>
        <w:t>REFERENCES</w:t>
      </w:r>
    </w:p>
    <w:p>
      <w:pPr>
        <w:spacing w:after="20"/>
        <w:ind w:left="187" w:hanging="187"/>
        <w:jc w:val="both"/>
      </w:pPr>
      <w:r>
        <w:rPr>
          <w:rFonts w:ascii="Times New Roman" w:hAnsi="Times New Roman"/>
          <w:b w:val="0"/>
          <w:i w:val="0"/>
          <w:sz w:val="16"/>
        </w:rPr>
        <w:t>[1] S. Deep et al., "Docling: An Efficient Open-Source Toolkit for AI-Driven Document Conversion," arXiv:2501.17887, 2025.</w:t>
      </w:r>
    </w:p>
    <w:p>
      <w:pPr>
        <w:spacing w:after="20"/>
        <w:ind w:left="187" w:hanging="187"/>
        <w:jc w:val="both"/>
      </w:pPr>
      <w:r>
        <w:rPr>
          <w:rFonts w:ascii="Times New Roman" w:hAnsi="Times New Roman"/>
          <w:b w:val="0"/>
          <w:i w:val="0"/>
          <w:sz w:val="16"/>
        </w:rPr>
        <w:t>[2] A. Dubey et al., "The Llama 3 Herd of Models," arXiv:2407.21783, 2024.</w:t>
      </w:r>
    </w:p>
    <w:p>
      <w:pPr>
        <w:spacing w:after="20"/>
        <w:ind w:left="187" w:hanging="187"/>
        <w:jc w:val="both"/>
      </w:pPr>
      <w:r>
        <w:rPr>
          <w:rFonts w:ascii="Times New Roman" w:hAnsi="Times New Roman"/>
          <w:b w:val="0"/>
          <w:i w:val="0"/>
          <w:sz w:val="16"/>
        </w:rPr>
        <w:t>[3] Y. Xu et al., "LayoutLM: Pre-training of Text and Layout for Document Image Understanding," in Proc. ACM SIGKDD, 2020.</w:t>
      </w:r>
    </w:p>
    <w:p>
      <w:pPr>
        <w:spacing w:after="20"/>
        <w:ind w:left="187" w:hanging="187"/>
        <w:jc w:val="both"/>
      </w:pPr>
      <w:r>
        <w:rPr>
          <w:rFonts w:ascii="Times New Roman" w:hAnsi="Times New Roman"/>
          <w:b w:val="0"/>
          <w:i w:val="0"/>
          <w:sz w:val="16"/>
        </w:rPr>
        <w:t>[4] Y. Xu et al., "LayoutLMv3: Pre-training for Document AI with Unified Text and Image Masking," in Proc. ACM MM, 2022.</w:t>
      </w:r>
    </w:p>
    <w:p>
      <w:pPr>
        <w:spacing w:after="20"/>
        <w:ind w:left="187" w:hanging="187"/>
        <w:jc w:val="both"/>
      </w:pPr>
      <w:r>
        <w:rPr>
          <w:rFonts w:ascii="Times New Roman" w:hAnsi="Times New Roman"/>
          <w:b w:val="0"/>
          <w:i w:val="0"/>
          <w:sz w:val="16"/>
        </w:rPr>
        <w:t>[5] A. Vaswani et al., "Attention Is All You Need," in Advances in Neural Information Processing Systems, vol. 30, 2017.</w:t>
      </w:r>
    </w:p>
    <w:p>
      <w:pPr>
        <w:spacing w:after="20"/>
        <w:ind w:left="187" w:hanging="187"/>
        <w:jc w:val="both"/>
      </w:pPr>
      <w:r>
        <w:rPr>
          <w:rFonts w:ascii="Times New Roman" w:hAnsi="Times New Roman"/>
          <w:b w:val="0"/>
          <w:i w:val="0"/>
          <w:sz w:val="16"/>
        </w:rPr>
        <w:t>[6] A. O. R. D. L. Rodrigues and S. V. C. Carvalho, "Information Extraction from Semi-Structured Documents: A Survey," ACM Computing Surveys, vol. 55, no. 9, 2023.</w:t>
      </w:r>
    </w:p>
    <w:p>
      <w:pPr>
        <w:spacing w:after="20"/>
        <w:ind w:left="187" w:hanging="187"/>
        <w:jc w:val="both"/>
      </w:pPr>
      <w:r>
        <w:rPr>
          <w:rFonts w:ascii="Times New Roman" w:hAnsi="Times New Roman"/>
          <w:b w:val="0"/>
          <w:i w:val="0"/>
          <w:sz w:val="16"/>
        </w:rPr>
        <w:t>[7] Brazil, Lei no. 14.133, de 1 de abril de 2021: Lei de Licitacoes e Contratos Administrativos, Diario Oficial da Uniao, 2021.</w:t>
      </w:r>
    </w:p>
    <w:sectPr w:rsidR="00FC693F" w:rsidRPr="0006063C" w:rsidSect="00034616">
      <w:type w:val="continuous"/>
      <w:pgSz w:w="12240" w:h="15840"/>
      <w:pgMar w:top="792" w:right="864" w:bottom="792" w:left="864"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sz w:val="14"/>
      </w:rPr>
      <w:t>Draft manuscript - replace anonymous affiliation and validate results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Constraint-Guided Extraction of Structured Items from Public Procurement Award Minutes</dc:title>
  <dc:subject/>
  <dc:creator>Anonymous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