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4"/>
        <w:gridCol w:w="1347"/>
        <w:gridCol w:w="3635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Statistical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1.Case Study on statistics &amp; probability theory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2.Solution  for case study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28886" cy="4131233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8886" cy="41312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291725" cy="7223626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91725" cy="72236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216265" cy="3134137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6265" cy="31341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55</Words>
  <Pages>5</Pages>
  <Characters>308</Characters>
  <Application>WPS Office</Application>
  <Paragraphs>80</Paragraphs>
  <CharactersWithSpaces>345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2020-06-16T17:05:59Z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