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91"/>
        <w:gridCol w:w="1346"/>
        <w:gridCol w:w="3629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15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Digital Marketing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1.consumer journey of today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2.Explanation of new medias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3.Explanation of new media-contd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4.understanding brand purpose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5.Introduction to Facebook marketing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6.purpose of using Facebook as marketing channel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7.Facebook interface and types of audience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8.adset set up guide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9.what is custom audience</w:t>
            </w:r>
          </w:p>
          <w:p>
            <w:pPr>
              <w:pStyle w:val="style0"/>
              <w:rPr/>
            </w:pPr>
            <w:r>
              <w:rPr>
                <w:b/>
                <w:sz w:val="24"/>
                <w:szCs w:val="24"/>
                <w:lang w:val="en-US"/>
              </w:rPr>
              <w:t>10.types of ads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/>
              <w:drawing>
                <wp:inline distL="114300" distT="0" distB="0" distR="114300">
                  <wp:extent cx="5443524" cy="2393607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43524" cy="23936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474985" cy="836176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74985" cy="83617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404915" cy="4432012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04915" cy="44320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416657" cy="612454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16657" cy="61245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995274" cy="6824366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95274" cy="68243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87</Words>
  <Pages>5</Pages>
  <Characters>510</Characters>
  <Application>WPS Office</Application>
  <Paragraphs>89</Paragraphs>
  <CharactersWithSpaces>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2020-06-16T17:02:57Z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