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0"/>
        <w:gridCol w:w="134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27-07-2020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Correlation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2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1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32" w:lineRule="atLeast"/>
              <w:ind w:left="0" w:right="0" w:firstLine="0"/>
              <w:rPr>
                <w:rFonts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8"/>
                <w:szCs w:val="28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8"/>
                <w:szCs w:val="28"/>
                <w:bdr w:val="none" w:color="auto" w:sz="0" w:space="0"/>
                <w:shd w:val="clear" w:fill="FFFFFF"/>
              </w:rPr>
              <w:t>Correlation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The first two videos in this module discuss the concept of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correlation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. In the first video, we'll talk about how we can display the correlation between two variables using tables and graphs. 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First we'll look at categorical variables and discuss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contingency tables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 In a next step we look at how we can best display the relationship between two quantitative variables. Here we'll introduce the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scatterplot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In the second video we'll discuss the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Pearson's r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 - one of the most frequently used measures of correlation.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 It is an appropriate measure if the variables under analysis are measured on a quantitative level and if they are linearly related to each other.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 The Pearson's r expresses the direction and strength of the correlation.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7B3B"/>
    <w:multiLevelType w:val="singleLevel"/>
    <w:tmpl w:val="0DA27B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50C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15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2020-07-28T03:41:39Z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