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05-06-2020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Digital design using HDL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Programming in verilog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5695" cy="4867275"/>
                  <wp:effectExtent l="0" t="0" r="6985" b="9525"/>
                  <wp:docPr id="1" name="Picture 1" descr="PSX_20200606_083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606_0830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It is certainly possible to represent hardware semantics using traditional programming languages such as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"https://en.wikipedia.org/wiki/C++" \o "C++"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C++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which operate on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"https://en.wikipedia.org/wiki/Control_flow" \o "Control flow"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control flow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semantics as opposed to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"https://en.wikipedia.org/wiki/Data_flow" \o "Data flow"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 flow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although to function as such, programs must be augmented with extensive and unwieldy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"https://en.wikipedia.org/wiki/Class_library" \l "Object_and_class_libraries" \o "Class library"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class libraries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Generally, however, software programming languages do not include any capability for explicitly expressing time, and thus cannot function as hardware description languages.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Before the introduction of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"https://en.wikipedia.org/wiki/System_Verilog" \o "System Verilog"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System Verilog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 2002,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"https://en.wikipedia.org/wiki/C++" \o "C++"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C++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integration with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"https://en.wikipedia.org/wiki/Logic_simulation" \o "Logic simulation"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logic simulator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was one of the few ways to use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"https://en.wikipedia.org/wiki/Object-oriented_programming" \o "Object-oriented programming"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object-oriented programming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 hardware verification.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System Verilog is the first major HDL to offer object orientation and garbage collection.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Using the proper subset of hardware description language, a program called a synthesizer, or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"https://en.wikipedia.org/wiki/Logic_synthesis" \o "Logic synthesis"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logic synthesis tool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can infer hardware logic operations from the language statements and produce an equivalent netlist of generic hardware primitives[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"https://en.wikipedia.org/wiki/Wikipedia:Manual_of_Style" \l "Technical_language" \o "Wikipedia:Manual of Style" </w:instrTex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jargon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] to implement the specified behaviour.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Synthesizers generally ignore the expression of any timing constructs in the text. Digital logic synthesizers, for example, generally use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"https://en.wikipedia.org/wiki/Clock_signal" \o "Clock signal"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clock edges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as the way to time the circuit, ignoring any timing constructs.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The ability to have a synthesizable subset of the language does not itself make a hardware description language.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05-06-2020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Imported Modules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3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39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Python code in one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"https://docs.python.org/3/glossary.html" \l "term-module"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module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gains access to the code in another module by the process of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"https://docs.python.org/3/glossary.html" \l "term-importing"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importing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it.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"https://docs.python.org/3/reference/simple_stmts.html" \l "import"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 is the most common way of invoking the import machinery, but it is not the only way. Functions such as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"https://docs.python.org/3/library/importlib.html" \l "importlib.import_module" \o "importlib.import_module"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importlib.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import_module()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 built-in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can also be used to invoke the import machinery.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"https://docs.python.org/3/reference/simple_stmts.html" \l "import"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statement combines two operations; it searches for the named module, then it binds the results of that search to a name in the local scope.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search operation of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 is defined as a call to the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function, with the appropriate arguments.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The return value of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used to perform the name binding operation of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See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 for the exact details of that name binding operation.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 direct call to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performs only the module search and, if found, the module creation operation.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While certain side-effects may occur, such as the importing of parent packages, and the updating of various caches (including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"https://docs.python.org/3/library/sys.html" \l "sys.modules" \o "sys.modules"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sys.modules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), only the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"https://docs.python.org/3/reference/simple_stmts.html" \l "import"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 performs a name binding operation.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69" w:lineRule="atLeast"/>
              <w:ind w:left="420" w:leftChars="0" w:hanging="42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When an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"https://docs.python.org/3/reference/simple_stmts.html" \l "import"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statement is executed, the standard builtin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function is called. Other mechanisms for invoking the import system (such as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"https://docs.python.org/3/library/importlib.html" \l "importlib.import_module" \o "importlib.import_module"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importlib.import_module()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 may choose to bypass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"https://docs.python.org/3/library/functions.html" \l "__import__" \o "__import__"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__import__()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 use their own solutions to implement import semantics.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F7B8B"/>
    <w:multiLevelType w:val="singleLevel"/>
    <w:tmpl w:val="E51F7B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70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33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2020-06-06T03:27:37Z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