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3"/>
        <w:gridCol w:w="1345"/>
        <w:gridCol w:w="3616"/>
        <w:tblGridChange w:id="0">
          <w:tblGrid>
            <w:gridCol w:w="1362"/>
            <w:gridCol w:w="3973"/>
            <w:gridCol w:w="1345"/>
            <w:gridCol w:w="3616"/>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PCB design using Kicad</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Mounting holes, create a library,create a PCB footprint component</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4810125" cy="2733675"/>
                  <wp:effectExtent b="0" l="0" r="0" t="0"/>
                  <wp:docPr descr="C:\Users\user\AppData\Local\Microsoft\Windows\INetCache\Content.Word\Screenshot (293).png" id="1" name="image1.png"/>
                  <a:graphic>
                    <a:graphicData uri="http://schemas.openxmlformats.org/drawingml/2006/picture">
                      <pic:pic>
                        <pic:nvPicPr>
                          <pic:cNvPr descr="C:\Users\user\AppData\Local\Microsoft\Windows\INetCache\Content.Word\Screenshot (293).png" id="0" name="image1.png"/>
                          <pic:cNvPicPr preferRelativeResize="0"/>
                        </pic:nvPicPr>
                        <pic:blipFill>
                          <a:blip r:embed="rId6"/>
                          <a:srcRect b="0" l="0" r="0" t="0"/>
                          <a:stretch>
                            <a:fillRect/>
                          </a:stretch>
                        </pic:blipFill>
                        <pic:spPr>
                          <a:xfrm>
                            <a:off x="0" y="0"/>
                            <a:ext cx="48101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5200650" cy="2905125"/>
                  <wp:effectExtent b="0" l="0" r="0" t="0"/>
                  <wp:docPr descr="C:\Users\user\AppData\Local\Microsoft\Windows\INetCache\Content.Word\Screenshot (294).png" id="3" name="image3.png"/>
                  <a:graphic>
                    <a:graphicData uri="http://schemas.openxmlformats.org/drawingml/2006/picture">
                      <pic:pic>
                        <pic:nvPicPr>
                          <pic:cNvPr descr="C:\Users\user\AppData\Local\Microsoft\Windows\INetCache\Content.Word\Screenshot (294).png" id="0" name="image3.png"/>
                          <pic:cNvPicPr preferRelativeResize="0"/>
                        </pic:nvPicPr>
                        <pic:blipFill>
                          <a:blip r:embed="rId7"/>
                          <a:srcRect b="0" l="0" r="0" t="0"/>
                          <a:stretch>
                            <a:fillRect/>
                          </a:stretch>
                        </pic:blipFill>
                        <pic:spPr>
                          <a:xfrm>
                            <a:off x="0" y="0"/>
                            <a:ext cx="520065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Mounting holes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Mounting holes are on every PCB design, but there is very little documentation about this subject matter. A Google or Wikipedia search on “Mounting Holes” renders no solutions to the PCB designer. Another issue that interferes with standardization is Imperial Unit ASNI hardware and ISO Metric hardware. So we’re going to have to explain both unit systems for clarity. But first let’s start with the basic fundamentals that both unit systems have in common.</w:t>
            </w:r>
          </w:p>
          <w:p w:rsidR="00000000" w:rsidDel="00000000" w:rsidP="00000000" w:rsidRDefault="00000000" w:rsidRPr="00000000" w14:paraId="0000001E">
            <w:pPr>
              <w:shd w:fill="ffffff" w:val="clear"/>
              <w:spacing w:after="3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supported mounting hole usually gets tied to the GND plane without a Thermal Relief (a direct connection is best) and the supported hole w/vias gets both the main hole and the vias tied to the GND plane. Due to the fact that mounting hardware never gets soldered to the PCB, there is no reason for a Thermal Relief pattern and you connect all holes (including vias) directly to the plane. The unsupported (non-plated) hole has no connection to a GND plane layer and they require an outer layer keep-out defined that compensates for the hardware tolerances. See figure 2 for an illustration of the slop tolerance of a flat washer and the necessary copper keep-out sizing. There are two primary reasons for adding vias to the supported mounting hole. The first was to insure that if the screw threads stripped the copper plating from the main hole that the vias would still provide adequate ground connections. The second reason was for additional support to prevent the PCB from crushing when too much torque was used to tighten the nut. The average via hole size for mounting holes is 0.5 mm. See Figure 3 for a supported mounting hole with vias.</w:t>
            </w:r>
          </w:p>
          <w:p w:rsidR="00000000" w:rsidDel="00000000" w:rsidP="00000000" w:rsidRDefault="00000000" w:rsidRPr="00000000" w14:paraId="0000001F">
            <w:pPr>
              <w:shd w:fill="ffffff" w:val="clear"/>
              <w:spacing w:after="30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Create a library:</w:t>
            </w:r>
          </w:p>
          <w:p w:rsidR="00000000" w:rsidDel="00000000" w:rsidP="00000000" w:rsidRDefault="00000000" w:rsidRPr="00000000" w14:paraId="00000020">
            <w:pPr>
              <w:shd w:fill="ffffff" w:val="clear"/>
              <w:spacing w:after="300"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4"/>
                <w:szCs w:val="24"/>
                <w:rtl w:val="0"/>
              </w:rPr>
              <w:t xml:space="preserve">The library name should be unique within the chosen library table. It should also communicate what footpirnts to expect within it to your target audience. Do not include special chars inside your library name as it might create problems in some platforms.</w:t>
              <w:br w:type="textWrapping"/>
              <w:t xml:space="preserve">This means the most shareable name will only contain letters, numbers, underline and minus. (This is only a suggestion. Add additional chars at your own risk.After creating the library you will need to add the library to the global or project library table. Adding it to the global table will make this lib visible to all your projects. The project (also known as local) library table only adds it to the current project.</w:t>
            </w:r>
            <w:r w:rsidDel="00000000" w:rsidR="00000000" w:rsidRPr="00000000">
              <w:rPr>
                <w:rtl w:val="0"/>
              </w:rPr>
            </w:r>
          </w:p>
          <w:p w:rsidR="00000000" w:rsidDel="00000000" w:rsidP="00000000" w:rsidRDefault="00000000" w:rsidRPr="00000000" w14:paraId="00000021">
            <w:pPr>
              <w:shd w:fill="ffffff" w:val="clear"/>
              <w:spacing w:after="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Create a PCB footprint:</w:t>
            </w:r>
          </w:p>
          <w:p w:rsidR="00000000" w:rsidDel="00000000" w:rsidP="00000000" w:rsidRDefault="00000000" w:rsidRPr="00000000" w14:paraId="00000022">
            <w:pPr>
              <w:shd w:fill="ffffff" w:val="clear"/>
              <w:spacing w:after="30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Altium Designer hosts a huge array of ready-made PCB Components both in servers as well as in several integrated and discrete libraries available through AltiumLive. However, even with this rich set of resources, it is likely that at some point in your career you will need to create a custom PCB Component. PCB Component Footprints are created in the PCB Library editor using the same set of primitive objects available in the PCB editor. In addition to footprints, company logos, fabrication definitions, and other objects required during board design can also be saved as PCB Components.The real-world component that gets mounted on the board is represented as a schematic symbol during design capture, and as a PCB footprint for board design. Altium Designer components can be:Created in and placed from local libraries 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Placed directly from a managed content server, which is a globally accessible component storage system that contains thousands of components, each with a symbol, footprint, component parameters, and links to suppliers.</w:t>
            </w:r>
            <w:r w:rsidDel="00000000" w:rsidR="00000000" w:rsidRPr="00000000">
              <w:rPr>
                <w:rtl w:val="0"/>
              </w:rPr>
            </w:r>
          </w:p>
          <w:p w:rsidR="00000000" w:rsidDel="00000000" w:rsidP="00000000" w:rsidRDefault="00000000" w:rsidRPr="00000000" w14:paraId="00000023">
            <w:pPr>
              <w:pStyle w:val="Heading1"/>
              <w:spacing w:after="375" w:before="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Steps to Create your Component Footprint:</w:t>
            </w:r>
          </w:p>
          <w:p w:rsidR="00000000" w:rsidDel="00000000" w:rsidP="00000000" w:rsidRDefault="00000000" w:rsidRPr="00000000" w14:paraId="00000024">
            <w:pPr>
              <w:pStyle w:val="Heading1"/>
              <w:spacing w:after="375" w:before="0" w:lineRule="auto"/>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sz w:val="24"/>
                <w:szCs w:val="24"/>
                <w:rtl w:val="0"/>
              </w:rPr>
              <w:t xml:space="preserve">Creating your footprint in Altium consists of 4 steps:</w:t>
            </w:r>
            <w:r w:rsidDel="00000000" w:rsidR="00000000" w:rsidRPr="00000000">
              <w:rPr>
                <w:rtl w:val="0"/>
              </w:rPr>
            </w:r>
          </w:p>
          <w:p w:rsidR="00000000" w:rsidDel="00000000" w:rsidP="00000000" w:rsidRDefault="00000000" w:rsidRPr="00000000" w14:paraId="00000025">
            <w:pPr>
              <w:spacing w:after="7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hyperlink r:id="rId8">
              <w:r w:rsidDel="00000000" w:rsidR="00000000" w:rsidRPr="00000000">
                <w:rPr>
                  <w:rFonts w:ascii="Times New Roman" w:cs="Times New Roman" w:eastAsia="Times New Roman" w:hAnsi="Times New Roman"/>
                  <w:color w:val="000000"/>
                  <w:sz w:val="24"/>
                  <w:szCs w:val="24"/>
                  <w:u w:val="none"/>
                  <w:rtl w:val="0"/>
                </w:rPr>
                <w:t xml:space="preserve">Create the pads</w:t>
              </w:r>
            </w:hyperlink>
            <w:r w:rsidDel="00000000" w:rsidR="00000000" w:rsidRPr="00000000">
              <w:rPr>
                <w:rtl w:val="0"/>
              </w:rPr>
            </w:r>
          </w:p>
          <w:p w:rsidR="00000000" w:rsidDel="00000000" w:rsidP="00000000" w:rsidRDefault="00000000" w:rsidRPr="00000000" w14:paraId="00000026">
            <w:pPr>
              <w:numPr>
                <w:ilvl w:val="0"/>
                <w:numId w:val="1"/>
              </w:numPr>
              <w:spacing w:after="75"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hyperlink r:id="rId9">
              <w:r w:rsidDel="00000000" w:rsidR="00000000" w:rsidRPr="00000000">
                <w:rPr>
                  <w:rFonts w:ascii="Times New Roman" w:cs="Times New Roman" w:eastAsia="Times New Roman" w:hAnsi="Times New Roman"/>
                  <w:color w:val="000000"/>
                  <w:sz w:val="24"/>
                  <w:szCs w:val="24"/>
                  <w:u w:val="none"/>
                  <w:rtl w:val="0"/>
                </w:rPr>
                <w:t xml:space="preserve">Define component height and area</w:t>
              </w:r>
            </w:hyperlink>
            <w:r w:rsidDel="00000000" w:rsidR="00000000" w:rsidRPr="00000000">
              <w:rPr>
                <w:rtl w:val="0"/>
              </w:rPr>
            </w:r>
          </w:p>
          <w:p w:rsidR="00000000" w:rsidDel="00000000" w:rsidP="00000000" w:rsidRDefault="00000000" w:rsidRPr="00000000" w14:paraId="00000027">
            <w:pPr>
              <w:numPr>
                <w:ilvl w:val="0"/>
                <w:numId w:val="1"/>
              </w:numPr>
              <w:spacing w:after="75"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hyperlink r:id="rId10">
              <w:r w:rsidDel="00000000" w:rsidR="00000000" w:rsidRPr="00000000">
                <w:rPr>
                  <w:rFonts w:ascii="Times New Roman" w:cs="Times New Roman" w:eastAsia="Times New Roman" w:hAnsi="Times New Roman"/>
                  <w:color w:val="000000"/>
                  <w:sz w:val="24"/>
                  <w:szCs w:val="24"/>
                  <w:u w:val="none"/>
                  <w:rtl w:val="0"/>
                </w:rPr>
                <w:t xml:space="preserve">Add silk screen information</w:t>
              </w:r>
            </w:hyperlink>
            <w:r w:rsidDel="00000000" w:rsidR="00000000" w:rsidRPr="00000000">
              <w:rPr>
                <w:rtl w:val="0"/>
              </w:rPr>
            </w:r>
          </w:p>
          <w:p w:rsidR="00000000" w:rsidDel="00000000" w:rsidP="00000000" w:rsidRDefault="00000000" w:rsidRPr="00000000" w14:paraId="00000028">
            <w:pPr>
              <w:numPr>
                <w:ilvl w:val="0"/>
                <w:numId w:val="1"/>
              </w:numPr>
              <w:spacing w:after="75"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hyperlink r:id="rId11">
              <w:r w:rsidDel="00000000" w:rsidR="00000000" w:rsidRPr="00000000">
                <w:rPr>
                  <w:rFonts w:ascii="Times New Roman" w:cs="Times New Roman" w:eastAsia="Times New Roman" w:hAnsi="Times New Roman"/>
                  <w:color w:val="000000"/>
                  <w:sz w:val="24"/>
                  <w:szCs w:val="24"/>
                  <w:u w:val="none"/>
                  <w:rtl w:val="0"/>
                </w:rPr>
                <w:t xml:space="preserve">Save the footprint</w:t>
              </w:r>
            </w:hyperlink>
            <w:r w:rsidDel="00000000" w:rsidR="00000000" w:rsidRPr="00000000">
              <w:rPr>
                <w:rtl w:val="0"/>
              </w:rPr>
            </w:r>
          </w:p>
          <w:p w:rsidR="00000000" w:rsidDel="00000000" w:rsidP="00000000" w:rsidRDefault="00000000" w:rsidRPr="00000000" w14:paraId="00000029">
            <w:pPr>
              <w:numPr>
                <w:ilvl w:val="0"/>
                <w:numId w:val="1"/>
              </w:numPr>
              <w:spacing w:after="75" w:lineRule="auto"/>
              <w:ind w:left="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step through the process to see how easy it can be to create your component footprint.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how to create your footprint in Altium Designer in 4 easy steps:</w:t>
            </w:r>
          </w:p>
          <w:p w:rsidR="00000000" w:rsidDel="00000000" w:rsidP="00000000" w:rsidRDefault="00000000" w:rsidRPr="00000000" w14:paraId="0000002C">
            <w:pPr>
              <w:pStyle w:val="Heading2"/>
              <w:spacing w:after="30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1: Create the Pads</w:t>
            </w:r>
          </w:p>
          <w:p w:rsidR="00000000" w:rsidDel="00000000" w:rsidP="00000000" w:rsidRDefault="00000000" w:rsidRPr="00000000" w14:paraId="0000002D">
            <w:pPr>
              <w:pStyle w:val="Heading2"/>
              <w:spacing w:after="300" w:before="0" w:lineRule="auto"/>
              <w:rPr>
                <w:rFonts w:ascii="Times New Roman" w:cs="Times New Roman" w:eastAsia="Times New Roman" w:hAnsi="Times New Roman"/>
                <w:b w:val="0"/>
                <w:color w:val="000000"/>
                <w:sz w:val="24"/>
                <w:szCs w:val="24"/>
                <w:highlight w:val="white"/>
              </w:rPr>
            </w:pPr>
            <w:r w:rsidDel="00000000" w:rsidR="00000000" w:rsidRPr="00000000">
              <w:rPr>
                <w:rFonts w:ascii="Times New Roman" w:cs="Times New Roman" w:eastAsia="Times New Roman" w:hAnsi="Times New Roman"/>
                <w:b w:val="0"/>
                <w:color w:val="000000"/>
                <w:sz w:val="24"/>
                <w:szCs w:val="24"/>
                <w:highlight w:val="white"/>
                <w:rtl w:val="0"/>
              </w:rPr>
              <w:t xml:space="preserve">You will need the landing pattern for your part, which can be found towards the end of the component data sheet. For this example, let’s use the popular </w:t>
            </w:r>
            <w:hyperlink r:id="rId12">
              <w:r w:rsidDel="00000000" w:rsidR="00000000" w:rsidRPr="00000000">
                <w:rPr>
                  <w:rFonts w:ascii="Times New Roman" w:cs="Times New Roman" w:eastAsia="Times New Roman" w:hAnsi="Times New Roman"/>
                  <w:b w:val="0"/>
                  <w:color w:val="000000"/>
                  <w:sz w:val="24"/>
                  <w:szCs w:val="24"/>
                  <w:highlight w:val="white"/>
                  <w:u w:val="none"/>
                  <w:rtl w:val="0"/>
                </w:rPr>
                <w:t xml:space="preserve">PIC24FJ64GA004 microcontroller</w:t>
              </w:r>
            </w:hyperlink>
            <w:r w:rsidDel="00000000" w:rsidR="00000000" w:rsidRPr="00000000">
              <w:rPr>
                <w:rFonts w:ascii="Times New Roman" w:cs="Times New Roman" w:eastAsia="Times New Roman" w:hAnsi="Times New Roman"/>
                <w:b w:val="0"/>
                <w:color w:val="000000"/>
                <w:sz w:val="24"/>
                <w:szCs w:val="24"/>
                <w:highlight w:val="white"/>
                <w:rtl w:val="0"/>
              </w:rPr>
              <w:t xml:space="preserve">. This component is packaged in a 44-lead plastic thin quad flatpack.In Altium Designer, under File → New → Library → PCB Library. This will add a new PCB footprint library to your project. You’ll also need to add new components to your PCB Library file. When you create a new PCB Library file, the library will create a blank footprint (named PCBCOMPONENT_1) by default</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E">
            <w:pPr>
              <w:pStyle w:val="Heading2"/>
              <w:spacing w:after="30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2: Define Component Height and Area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information.By default, the component type will be set to Standard; this is the value we would want for this component. Other components, such as mechanical elements and no-BOM components, will not be standard components and should be assigned the appropriate component type</w:t>
            </w:r>
          </w:p>
          <w:p w:rsidR="00000000" w:rsidDel="00000000" w:rsidP="00000000" w:rsidRDefault="00000000" w:rsidRPr="00000000" w14:paraId="00000030">
            <w:pPr>
              <w:pStyle w:val="Heading2"/>
              <w:spacing w:after="30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3: Add Silk Screen Information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step, we add the silk screen layer image and pin 1 marking. 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layer. Here, we want to place this on the Top Overlay layer. This can be done by selecting the silk screen lines from the Properties panel.</w:t>
            </w:r>
          </w:p>
          <w:p w:rsidR="00000000" w:rsidDel="00000000" w:rsidP="00000000" w:rsidRDefault="00000000" w:rsidRPr="00000000" w14:paraId="00000032">
            <w:pPr>
              <w:pStyle w:val="Heading2"/>
              <w:spacing w:after="30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4: Save the Footprint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5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step is to create your component is to name and save it so you can add it to your component , which also includes the schematic symbol. Tip: You will want to make the name unique and searchable so you can easily locate it.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50" w:before="0" w:line="240" w:lineRule="auto"/>
              <w:ind w:left="0" w:right="0" w:firstLine="0"/>
              <w:jc w:val="left"/>
              <w:rPr>
                <w:rFonts w:ascii="Open Sans" w:cs="Open Sans" w:eastAsia="Open Sans" w:hAnsi="Open Sans"/>
                <w:b w:val="0"/>
                <w:i w:val="0"/>
                <w:smallCaps w:val="0"/>
                <w:strike w:val="0"/>
                <w:color w:val="3b3b3b"/>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shd w:fill="ffffff" w:val="clear"/>
              <w:spacing w:after="300" w:lineRule="auto"/>
              <w:rPr>
                <w:rFonts w:ascii="Times New Roman" w:cs="Times New Roman" w:eastAsia="Times New Roman" w:hAnsi="Times New Roman"/>
                <w:b w:val="1"/>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36">
            <w:pPr>
              <w:rPr>
                <w:b w:val="1"/>
                <w:sz w:val="24"/>
                <w:szCs w:val="24"/>
              </w:rPr>
            </w:pPr>
            <w:r w:rsidDel="00000000" w:rsidR="00000000" w:rsidRPr="00000000">
              <w:rPr>
                <w:rtl w:val="0"/>
              </w:rPr>
            </w:r>
          </w:p>
        </w:tc>
      </w:tr>
    </w:tbl>
    <w:p w:rsidR="00000000" w:rsidDel="00000000" w:rsidP="00000000" w:rsidRDefault="00000000" w:rsidRPr="00000000" w14:paraId="00000037">
      <w:pPr>
        <w:rPr>
          <w:b w:val="1"/>
          <w:sz w:val="36"/>
          <w:szCs w:val="36"/>
          <w:u w:val="single"/>
        </w:rPr>
      </w:pPr>
      <w:r w:rsidDel="00000000" w:rsidR="00000000" w:rsidRPr="00000000">
        <w:rPr>
          <w:rtl w:val="0"/>
        </w:rPr>
      </w:r>
    </w:p>
    <w:p w:rsidR="00000000" w:rsidDel="00000000" w:rsidP="00000000" w:rsidRDefault="00000000" w:rsidRPr="00000000" w14:paraId="00000038">
      <w:pPr>
        <w:rPr>
          <w:b w:val="1"/>
          <w:sz w:val="36"/>
          <w:szCs w:val="36"/>
          <w:u w:val="single"/>
        </w:rPr>
      </w:pPr>
      <w:r w:rsidDel="00000000" w:rsidR="00000000" w:rsidRPr="00000000">
        <w:rPr>
          <w:rtl w:val="0"/>
        </w:rPr>
      </w:r>
    </w:p>
    <w:p w:rsidR="00000000" w:rsidDel="00000000" w:rsidP="00000000" w:rsidRDefault="00000000" w:rsidRPr="00000000" w14:paraId="00000039">
      <w:pPr>
        <w:rPr>
          <w:b w:val="1"/>
          <w:sz w:val="36"/>
          <w:szCs w:val="36"/>
          <w:u w:val="single"/>
        </w:rPr>
      </w:pP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rtl w:val="0"/>
        </w:rPr>
      </w:r>
    </w:p>
    <w:p w:rsidR="00000000" w:rsidDel="00000000" w:rsidP="00000000" w:rsidRDefault="00000000" w:rsidRPr="00000000" w14:paraId="0000003B">
      <w:pPr>
        <w:rPr>
          <w:b w:val="1"/>
          <w:sz w:val="36"/>
          <w:szCs w:val="36"/>
          <w:u w:val="single"/>
        </w:rPr>
      </w:pPr>
      <w:r w:rsidDel="00000000" w:rsidR="00000000" w:rsidRPr="00000000">
        <w:rPr>
          <w:rtl w:val="0"/>
        </w:rPr>
      </w:r>
    </w:p>
    <w:p w:rsidR="00000000" w:rsidDel="00000000" w:rsidP="00000000" w:rsidRDefault="00000000" w:rsidRPr="00000000" w14:paraId="0000003C">
      <w:pPr>
        <w:rPr>
          <w:b w:val="1"/>
          <w:sz w:val="36"/>
          <w:szCs w:val="36"/>
          <w:u w:val="single"/>
        </w:rPr>
      </w:pPr>
      <w:r w:rsidDel="00000000" w:rsidR="00000000" w:rsidRPr="00000000">
        <w:rPr>
          <w:b w:val="1"/>
          <w:sz w:val="36"/>
          <w:szCs w:val="36"/>
          <w:u w:val="single"/>
          <w:rtl w:val="0"/>
        </w:rPr>
        <w:t xml:space="preserve">DAILY ASSESSMENT FORMAT</w:t>
      </w:r>
    </w:p>
    <w:tbl>
      <w:tblPr>
        <w:tblStyle w:val="Table3"/>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81"/>
        <w:gridCol w:w="1344"/>
        <w:gridCol w:w="3609"/>
        <w:tblGridChange w:id="0">
          <w:tblGrid>
            <w:gridCol w:w="1362"/>
            <w:gridCol w:w="3981"/>
            <w:gridCol w:w="1344"/>
            <w:gridCol w:w="3609"/>
          </w:tblGrid>
        </w:tblGridChange>
      </w:tblGrid>
      <w:tr>
        <w:tc>
          <w:tcPr/>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3E">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10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Hiding a sensitive data,php ecgo and quotes,formatting using sprint,intro to user defined variables</w:t>
            </w:r>
          </w:p>
        </w:tc>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4B">
            <w:pPr>
              <w:rPr>
                <w:b w:val="1"/>
                <w:sz w:val="24"/>
                <w:szCs w:val="24"/>
              </w:rPr>
            </w:pPr>
            <w:r w:rsidDel="00000000" w:rsidR="00000000" w:rsidRPr="00000000">
              <w:rPr>
                <w:rtl w:val="0"/>
              </w:rPr>
            </w:r>
          </w:p>
        </w:tc>
        <w:tc>
          <w:tcPr/>
          <w:p w:rsidR="00000000" w:rsidDel="00000000" w:rsidP="00000000" w:rsidRDefault="00000000" w:rsidRPr="00000000" w14:paraId="0000004C">
            <w:pPr>
              <w:rPr>
                <w:b w:val="1"/>
                <w:sz w:val="24"/>
                <w:szCs w:val="24"/>
              </w:rPr>
            </w:pPr>
            <w:r w:rsidDel="00000000" w:rsidR="00000000" w:rsidRPr="00000000">
              <w:rPr>
                <w:rtl w:val="0"/>
              </w:rPr>
            </w:r>
          </w:p>
        </w:tc>
      </w:tr>
    </w:tbl>
    <w:p w:rsidR="00000000" w:rsidDel="00000000" w:rsidP="00000000" w:rsidRDefault="00000000" w:rsidRPr="00000000" w14:paraId="0000004D">
      <w:pPr>
        <w:rPr>
          <w:b w:val="1"/>
          <w:sz w:val="24"/>
          <w:szCs w:val="24"/>
        </w:rPr>
      </w:pPr>
      <w:r w:rsidDel="00000000" w:rsidR="00000000" w:rsidRPr="00000000">
        <w:rPr>
          <w:rtl w:val="0"/>
        </w:rPr>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50">
            <w:pPr>
              <w:rPr>
                <w:b w:val="1"/>
                <w:sz w:val="24"/>
                <w:szCs w:val="24"/>
              </w:rPr>
            </w:pPr>
            <w:r w:rsidDel="00000000" w:rsidR="00000000" w:rsidRPr="00000000">
              <w:rPr/>
              <w:drawing>
                <wp:inline distB="0" distT="0" distL="0" distR="0">
                  <wp:extent cx="5200650" cy="2962275"/>
                  <wp:effectExtent b="0" l="0" r="0" t="0"/>
                  <wp:docPr descr="C:\Users\user\AppData\Local\Microsoft\Windows\INetCache\Content.Word\Screenshot (297).png" id="2" name="image2.png"/>
                  <a:graphic>
                    <a:graphicData uri="http://schemas.openxmlformats.org/drawingml/2006/picture">
                      <pic:pic>
                        <pic:nvPicPr>
                          <pic:cNvPr descr="C:\Users\user\AppData\Local\Microsoft\Windows\INetCache\Content.Word\Screenshot (297).png" id="0" name="image2.png"/>
                          <pic:cNvPicPr preferRelativeResize="0"/>
                        </pic:nvPicPr>
                        <pic:blipFill>
                          <a:blip r:embed="rId13"/>
                          <a:srcRect b="0" l="0" r="0" t="0"/>
                          <a:stretch>
                            <a:fillRect/>
                          </a:stretch>
                        </pic:blipFill>
                        <pic:spPr>
                          <a:xfrm>
                            <a:off x="0" y="0"/>
                            <a:ext cx="52006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drawing>
                <wp:inline distB="0" distT="0" distL="0" distR="0">
                  <wp:extent cx="5200650" cy="2971800"/>
                  <wp:effectExtent b="0" l="0" r="0" t="0"/>
                  <wp:docPr descr="C:\Users\user\AppData\Local\Microsoft\Windows\INetCache\Content.Word\Screenshot (298).png" id="4" name="image4.png"/>
                  <a:graphic>
                    <a:graphicData uri="http://schemas.openxmlformats.org/drawingml/2006/picture">
                      <pic:pic>
                        <pic:nvPicPr>
                          <pic:cNvPr descr="C:\Users\user\AppData\Local\Microsoft\Windows\INetCache\Content.Word\Screenshot (298).png" id="0" name="image4.png"/>
                          <pic:cNvPicPr preferRelativeResize="0"/>
                        </pic:nvPicPr>
                        <pic:blipFill>
                          <a:blip r:embed="rId14"/>
                          <a:srcRect b="0" l="0" r="0" t="0"/>
                          <a:stretch>
                            <a:fillRect/>
                          </a:stretch>
                        </pic:blipFill>
                        <pic:spPr>
                          <a:xfrm>
                            <a:off x="0" y="0"/>
                            <a:ext cx="52006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Hiding a sensitive data:</w:t>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thinking about security within a MySQL installation, you should consider a wide range of possible procedures / best practices and how they affect the security of your MySQL server and related applications. MySQL provides many tools / features / plugins in order to protect your data including some advanced features like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Transparent Data Encryption aka TDE</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Audit</w:t>
              </w:r>
            </w:hyperlink>
            <w:r w:rsidDel="00000000" w:rsidR="00000000" w:rsidRPr="00000000">
              <w:rPr>
                <w:rFonts w:ascii="Times New Roman" w:cs="Times New Roman" w:eastAsia="Times New Roman" w:hAnsi="Times New Roman"/>
                <w:sz w:val="24"/>
                <w:szCs w:val="24"/>
                <w:highlight w:val="white"/>
                <w:rtl w:val="0"/>
              </w:rPr>
              <w:t xml:space="preserve">, </w:t>
            </w:r>
            <w:hyperlink r:id="rId17">
              <w:r w:rsidDel="00000000" w:rsidR="00000000" w:rsidRPr="00000000">
                <w:rPr>
                  <w:rFonts w:ascii="Times New Roman" w:cs="Times New Roman" w:eastAsia="Times New Roman" w:hAnsi="Times New Roman"/>
                  <w:color w:val="000000"/>
                  <w:sz w:val="24"/>
                  <w:szCs w:val="24"/>
                  <w:highlight w:val="white"/>
                  <w:u w:val="none"/>
                  <w:rtl w:val="0"/>
                </w:rPr>
                <w:t xml:space="preserve">Data Masking &amp; De-Identification</w:t>
              </w:r>
            </w:hyperlink>
            <w:r w:rsidDel="00000000" w:rsidR="00000000" w:rsidRPr="00000000">
              <w:rPr>
                <w:rFonts w:ascii="Times New Roman" w:cs="Times New Roman" w:eastAsia="Times New Roman" w:hAnsi="Times New Roman"/>
                <w:sz w:val="24"/>
                <w:szCs w:val="24"/>
                <w:highlight w:val="white"/>
                <w:rtl w:val="0"/>
              </w:rPr>
              <w:t xml:space="preserve">, </w:t>
            </w:r>
            <w:hyperlink r:id="rId18">
              <w:r w:rsidDel="00000000" w:rsidR="00000000" w:rsidRPr="00000000">
                <w:rPr>
                  <w:rFonts w:ascii="Times New Roman" w:cs="Times New Roman" w:eastAsia="Times New Roman" w:hAnsi="Times New Roman"/>
                  <w:color w:val="000000"/>
                  <w:sz w:val="24"/>
                  <w:szCs w:val="24"/>
                  <w:highlight w:val="white"/>
                  <w:u w:val="none"/>
                  <w:rtl w:val="0"/>
                </w:rPr>
                <w:t xml:space="preserve">Firewall</w:t>
              </w:r>
            </w:hyperlink>
            <w:r w:rsidDel="00000000" w:rsidR="00000000" w:rsidRPr="00000000">
              <w:rPr>
                <w:rFonts w:ascii="Times New Roman" w:cs="Times New Roman" w:eastAsia="Times New Roman" w:hAnsi="Times New Roman"/>
                <w:sz w:val="24"/>
                <w:szCs w:val="24"/>
                <w:highlight w:val="white"/>
                <w:rtl w:val="0"/>
              </w:rPr>
              <w:t xml:space="preserve">, </w:t>
            </w:r>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Password Management</w:t>
              </w:r>
            </w:hyperlink>
            <w:r w:rsidDel="00000000" w:rsidR="00000000" w:rsidRPr="00000000">
              <w:rPr>
                <w:rFonts w:ascii="Times New Roman" w:cs="Times New Roman" w:eastAsia="Times New Roman" w:hAnsi="Times New Roman"/>
                <w:sz w:val="24"/>
                <w:szCs w:val="24"/>
                <w:highlight w:val="white"/>
                <w:rtl w:val="0"/>
              </w:rPr>
              <w:t xml:space="preserve">, </w:t>
            </w:r>
            <w:hyperlink r:id="rId20">
              <w:r w:rsidDel="00000000" w:rsidR="00000000" w:rsidRPr="00000000">
                <w:rPr>
                  <w:rFonts w:ascii="Times New Roman" w:cs="Times New Roman" w:eastAsia="Times New Roman" w:hAnsi="Times New Roman"/>
                  <w:color w:val="000000"/>
                  <w:sz w:val="24"/>
                  <w:szCs w:val="24"/>
                  <w:highlight w:val="white"/>
                  <w:u w:val="none"/>
                  <w:rtl w:val="0"/>
                </w:rPr>
                <w:t xml:space="preserve">Password Validation Plugin</w:t>
              </w:r>
            </w:hyperlink>
            <w:r w:rsidDel="00000000" w:rsidR="00000000" w:rsidRPr="00000000">
              <w:rPr>
                <w:rFonts w:ascii="Times New Roman" w:cs="Times New Roman" w:eastAsia="Times New Roman" w:hAnsi="Times New Roman"/>
                <w:sz w:val="24"/>
                <w:szCs w:val="24"/>
                <w:highlight w:val="white"/>
                <w:rtl w:val="0"/>
              </w:rPr>
              <w:t xml:space="preserve">, etc…</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order to mitigate the effects of </w:t>
            </w:r>
            <w:r w:rsidDel="00000000" w:rsidR="00000000" w:rsidRPr="00000000">
              <w:rPr>
                <w:rFonts w:ascii="Times New Roman" w:cs="Times New Roman" w:eastAsia="Times New Roman" w:hAnsi="Times New Roman"/>
                <w:b w:val="0"/>
                <w:sz w:val="24"/>
                <w:szCs w:val="24"/>
                <w:highlight w:val="white"/>
                <w:rtl w:val="0"/>
              </w:rPr>
              <w:t xml:space="preserve">data breaches</w:t>
            </w:r>
            <w:r w:rsidDel="00000000" w:rsidR="00000000" w:rsidRPr="00000000">
              <w:rPr>
                <w:rFonts w:ascii="Times New Roman" w:cs="Times New Roman" w:eastAsia="Times New Roman" w:hAnsi="Times New Roman"/>
                <w:sz w:val="24"/>
                <w:szCs w:val="24"/>
                <w:highlight w:val="white"/>
                <w:rtl w:val="0"/>
              </w:rPr>
              <w:t xml:space="preserve">, and therefore the associated </w:t>
            </w:r>
            <w:r w:rsidDel="00000000" w:rsidR="00000000" w:rsidRPr="00000000">
              <w:rPr>
                <w:rFonts w:ascii="Times New Roman" w:cs="Times New Roman" w:eastAsia="Times New Roman" w:hAnsi="Times New Roman"/>
                <w:b w:val="0"/>
                <w:sz w:val="24"/>
                <w:szCs w:val="24"/>
                <w:highlight w:val="white"/>
                <w:rtl w:val="0"/>
              </w:rPr>
              <w:t xml:space="preserve">risks for your</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0"/>
                <w:sz w:val="24"/>
                <w:szCs w:val="24"/>
                <w:highlight w:val="white"/>
                <w:rtl w:val="0"/>
              </w:rPr>
              <w:t xml:space="preserve">organization</w:t>
            </w:r>
            <w:r w:rsidDel="00000000" w:rsidR="00000000" w:rsidRPr="00000000">
              <w:rPr>
                <w:rFonts w:ascii="Times New Roman" w:cs="Times New Roman" w:eastAsia="Times New Roman" w:hAnsi="Times New Roman"/>
                <w:sz w:val="24"/>
                <w:szCs w:val="24"/>
                <w:highlight w:val="white"/>
                <w:rtl w:val="0"/>
              </w:rPr>
              <w:t xml:space="preserve">’s brand and reputation, popular regulations or standards including </w:t>
            </w:r>
            <w:hyperlink r:id="rId21">
              <w:r w:rsidDel="00000000" w:rsidR="00000000" w:rsidRPr="00000000">
                <w:rPr>
                  <w:rFonts w:ascii="Times New Roman" w:cs="Times New Roman" w:eastAsia="Times New Roman" w:hAnsi="Times New Roman"/>
                  <w:b w:val="0"/>
                  <w:sz w:val="24"/>
                  <w:szCs w:val="24"/>
                  <w:highlight w:val="white"/>
                  <w:rtl w:val="0"/>
                </w:rPr>
                <w:t xml:space="preserve">GDPR</w:t>
              </w:r>
            </w:hyperlink>
            <w:r w:rsidDel="00000000" w:rsidR="00000000" w:rsidRPr="00000000">
              <w:rPr>
                <w:rFonts w:ascii="Times New Roman" w:cs="Times New Roman" w:eastAsia="Times New Roman" w:hAnsi="Times New Roman"/>
                <w:b w:val="1"/>
                <w:sz w:val="24"/>
                <w:szCs w:val="24"/>
                <w:highlight w:val="white"/>
                <w:rtl w:val="0"/>
              </w:rPr>
              <w:t xml:space="preserve">, </w:t>
            </w:r>
            <w:hyperlink r:id="rId22">
              <w:r w:rsidDel="00000000" w:rsidR="00000000" w:rsidRPr="00000000">
                <w:rPr>
                  <w:rFonts w:ascii="Times New Roman" w:cs="Times New Roman" w:eastAsia="Times New Roman" w:hAnsi="Times New Roman"/>
                  <w:b w:val="0"/>
                  <w:sz w:val="24"/>
                  <w:szCs w:val="24"/>
                  <w:highlight w:val="white"/>
                  <w:rtl w:val="0"/>
                </w:rPr>
                <w:t xml:space="preserve">PCI DSS</w:t>
              </w:r>
            </w:hyperlink>
            <w:r w:rsidDel="00000000" w:rsidR="00000000" w:rsidRPr="00000000">
              <w:rPr>
                <w:rFonts w:ascii="Times New Roman" w:cs="Times New Roman" w:eastAsia="Times New Roman" w:hAnsi="Times New Roman"/>
                <w:sz w:val="24"/>
                <w:szCs w:val="24"/>
                <w:highlight w:val="white"/>
                <w:rtl w:val="0"/>
              </w:rPr>
              <w:t xml:space="preserve">, </w:t>
            </w:r>
            <w:hyperlink r:id="rId23">
              <w:r w:rsidDel="00000000" w:rsidR="00000000" w:rsidRPr="00000000">
                <w:rPr>
                  <w:rFonts w:ascii="Times New Roman" w:cs="Times New Roman" w:eastAsia="Times New Roman" w:hAnsi="Times New Roman"/>
                  <w:b w:val="0"/>
                  <w:sz w:val="24"/>
                  <w:szCs w:val="24"/>
                  <w:highlight w:val="white"/>
                  <w:rtl w:val="0"/>
                </w:rPr>
                <w:t xml:space="preserve">HIPAA</w:t>
              </w:r>
            </w:hyperlink>
            <w:r w:rsidDel="00000000" w:rsidR="00000000" w:rsidRPr="00000000">
              <w:rPr>
                <w:rFonts w:ascii="Times New Roman" w:cs="Times New Roman" w:eastAsia="Times New Roman" w:hAnsi="Times New Roman"/>
                <w:sz w:val="24"/>
                <w:szCs w:val="24"/>
                <w:highlight w:val="white"/>
                <w:rtl w:val="0"/>
              </w:rPr>
              <w:t xml:space="preserve">,… recommand (among others things) </w:t>
            </w:r>
            <w:r w:rsidDel="00000000" w:rsidR="00000000" w:rsidRPr="00000000">
              <w:rPr>
                <w:rFonts w:ascii="Times New Roman" w:cs="Times New Roman" w:eastAsia="Times New Roman" w:hAnsi="Times New Roman"/>
                <w:b w:val="0"/>
                <w:sz w:val="24"/>
                <w:szCs w:val="24"/>
                <w:highlight w:val="white"/>
                <w:rtl w:val="0"/>
              </w:rPr>
              <w:t xml:space="preserve">data masking</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0"/>
                <w:sz w:val="24"/>
                <w:szCs w:val="24"/>
                <w:highlight w:val="white"/>
                <w:rtl w:val="0"/>
              </w:rPr>
              <w:t xml:space="preserve">de-identification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Style w:val="Heading1"/>
              <w:spacing w:after="48" w:before="0" w:lineRule="auto"/>
              <w:rPr>
                <w:rFonts w:ascii="Times New Roman" w:cs="Times New Roman" w:eastAsia="Times New Roman" w:hAnsi="Times New Roman"/>
                <w:color w:val="3a3a3a"/>
              </w:rPr>
            </w:pPr>
            <w:r w:rsidDel="00000000" w:rsidR="00000000" w:rsidRPr="00000000">
              <w:rPr>
                <w:rFonts w:ascii="Times New Roman" w:cs="Times New Roman" w:eastAsia="Times New Roman" w:hAnsi="Times New Roman"/>
                <w:color w:val="3a3a3a"/>
                <w:rtl w:val="0"/>
              </w:rPr>
              <w:t xml:space="preserve">PHP double quotes vs single quotes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Strings in PHP can be specified in four different ways: single quoted, double quoted, heredoc syntax and (since PHP 5.3.0) nowdoc syntax, the first two of them being by far the most frequently used.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It is important to know the difference between using single quotes and double quotes. In this post we will see the difference between them and which should be used when.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Single quoted strings are the easiest way to specify string. This method in used when we want to the string to be exactly as it is written. When string is specified in single quotes PHP will not evaluate it or interpret escape characters except single quote with backslash (‘) and backslash(\) which has to be escaped</w:t>
            </w: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w:t>
            </w:r>
          </w:p>
          <w:p w:rsidR="00000000" w:rsidDel="00000000" w:rsidP="00000000" w:rsidRDefault="00000000" w:rsidRPr="00000000" w14:paraId="0000005D">
            <w:pPr>
              <w:pStyle w:val="Heading1"/>
              <w:shd w:fill="ffffff" w:val="clear"/>
              <w:spacing w:after="150" w:before="15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PHP sprintf() Function</w:t>
            </w:r>
          </w:p>
          <w:p w:rsidR="00000000" w:rsidDel="00000000" w:rsidP="00000000" w:rsidRDefault="00000000" w:rsidRPr="00000000" w14:paraId="0000005E">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Definition and Usage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sprintf() function writes a formatted string to a variable.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arg1, arg2, ++ parameters will be inserted at percent (%) signs in the main string. This function works "step-by-step". At the first % sign, arg1 is inserted, at the second % sign, arg2 is inserted, etc.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more % signs than arguments, you must use placeholders. A placeholder is inserted after the % sign, and consists of the argument- number and "\$". See example two.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Related functions: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vprintf()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vsprintf()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fprintf()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vfprintf()</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sprintf(</w:t>
            </w:r>
            <w:r w:rsidDel="00000000" w:rsidR="00000000" w:rsidRPr="00000000">
              <w:rPr>
                <w:rFonts w:ascii="Times New Roman" w:cs="Times New Roman" w:eastAsia="Times New Roman" w:hAnsi="Times New Roman"/>
                <w:i w:val="0"/>
                <w:color w:val="000000"/>
                <w:sz w:val="24"/>
                <w:szCs w:val="24"/>
                <w:rtl w:val="0"/>
              </w:rPr>
              <w:t xml:space="preserve">format,arg1,arg2,arg++</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hd w:fill="ffffff" w:val="clear"/>
              <w:spacing w:after="6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Replace the percent (%) sign by a variable passed as an argument: $number = 9; $str = "Beijing"; ...</w:t>
            </w:r>
          </w:p>
          <w:p w:rsidR="00000000" w:rsidDel="00000000" w:rsidP="00000000" w:rsidRDefault="00000000" w:rsidRPr="00000000" w14:paraId="00000067">
            <w:pPr>
              <w:numPr>
                <w:ilvl w:val="0"/>
                <w:numId w:val="2"/>
              </w:numPr>
              <w:shd w:fill="ffffff" w:val="clear"/>
              <w:spacing w:after="60" w:lineRule="auto"/>
              <w:ind w:left="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the format value %f: $number = 123; $txt = sprintf("%f",$number); ...</w:t>
            </w:r>
          </w:p>
          <w:p w:rsidR="00000000" w:rsidDel="00000000" w:rsidP="00000000" w:rsidRDefault="00000000" w:rsidRPr="00000000" w14:paraId="00000068">
            <w:pPr>
              <w:numPr>
                <w:ilvl w:val="0"/>
                <w:numId w:val="2"/>
              </w:numPr>
              <w:shd w:fill="ffffff" w:val="clear"/>
              <w:spacing w:after="60" w:lineRule="auto"/>
              <w:ind w:left="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 of placeholders: $number = 123; ...A demonstration of string specifiers: $str1 = "Hello";</w:t>
            </w:r>
          </w:p>
          <w:p w:rsidR="00000000" w:rsidDel="00000000" w:rsidP="00000000" w:rsidRDefault="00000000" w:rsidRPr="00000000" w14:paraId="00000069">
            <w:pPr>
              <w:pStyle w:val="Heading1"/>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Introduction to User Defined Variables: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63b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b3f"/>
                <w:sz w:val="24"/>
                <w:szCs w:val="24"/>
                <w:u w:val="none"/>
                <w:shd w:fill="auto" w:val="clear"/>
                <w:vertAlign w:val="baseline"/>
                <w:rtl w:val="0"/>
              </w:rPr>
              <w:t xml:space="preserve">MySQL supports user defined variables to have some data that can be used later part of your query. You can save a value to a variable using a SELECT statement and later you can access its value.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63b3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63b3f"/>
                <w:sz w:val="24"/>
                <w:szCs w:val="24"/>
                <w:u w:val="none"/>
                <w:shd w:fill="auto" w:val="clear"/>
                <w:vertAlign w:val="baseline"/>
                <w:rtl w:val="0"/>
              </w:rPr>
              <w:t xml:space="preserve">Unlike other RDBMSs, you do not need to declare the data type for a variable. The data type is automatically assumed when you assign a value. A value can be assigned to a variable using a SET command as shown below</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af6e1" w:val="clear"/>
                <w:vertAlign w:val="baseline"/>
                <w:rtl w:val="0"/>
              </w:rPr>
              <w:t xml:space="preserve">SET @server_type:='MySQL';</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63b3f"/>
                <w:sz w:val="24"/>
                <w:szCs w:val="24"/>
                <w:highlight w:val="white"/>
                <w:rtl w:val="0"/>
              </w:rPr>
              <w:t xml:space="preserve">When you above command is executed, the value, MySQL is assigned to the variable called @server_type. Now you can use this variable in the later part of the code. Suppose if you want to display the value, you can use SELECT statement</w:t>
            </w:r>
            <w:r w:rsidDel="00000000" w:rsidR="00000000" w:rsidRPr="00000000">
              <w:rPr>
                <w:rtl w:val="0"/>
              </w:rPr>
            </w:r>
          </w:p>
        </w:tc>
      </w:tr>
      <w:tr>
        <w:trPr>
          <w:trHeight w:val="299" w:hRule="atLeast"/>
        </w:trPr>
        <w:tc>
          <w:tcPr/>
          <w:p w:rsidR="00000000" w:rsidDel="00000000" w:rsidP="00000000" w:rsidRDefault="00000000" w:rsidRPr="00000000" w14:paraId="0000006F">
            <w:pPr>
              <w:rPr>
                <w:b w:val="1"/>
                <w:sz w:val="24"/>
                <w:szCs w:val="24"/>
              </w:rPr>
            </w:pPr>
            <w:r w:rsidDel="00000000" w:rsidR="00000000" w:rsidRPr="00000000">
              <w:rPr>
                <w:rtl w:val="0"/>
              </w:rPr>
            </w:r>
          </w:p>
        </w:tc>
      </w:tr>
    </w:tbl>
    <w:p w:rsidR="00000000" w:rsidDel="00000000" w:rsidP="00000000" w:rsidRDefault="00000000" w:rsidRPr="00000000" w14:paraId="00000070">
      <w:pPr>
        <w:rPr>
          <w:b w:val="1"/>
          <w:sz w:val="36"/>
          <w:szCs w:val="36"/>
          <w:u w:val="single"/>
        </w:rPr>
      </w:pPr>
      <w:r w:rsidDel="00000000" w:rsidR="00000000" w:rsidRPr="00000000">
        <w:rPr>
          <w:rtl w:val="0"/>
        </w:rPr>
      </w:r>
    </w:p>
    <w:p w:rsidR="00000000" w:rsidDel="00000000" w:rsidP="00000000" w:rsidRDefault="00000000" w:rsidRPr="00000000" w14:paraId="00000071">
      <w:pPr>
        <w:rPr>
          <w:b w:val="1"/>
          <w:sz w:val="36"/>
          <w:szCs w:val="36"/>
          <w:u w:val="single"/>
        </w:rPr>
      </w:pPr>
      <w:r w:rsidDel="00000000" w:rsidR="00000000" w:rsidRPr="00000000">
        <w:rPr>
          <w:rtl w:val="0"/>
        </w:rPr>
      </w:r>
    </w:p>
    <w:p w:rsidR="00000000" w:rsidDel="00000000" w:rsidP="00000000" w:rsidRDefault="00000000" w:rsidRPr="00000000" w14:paraId="00000072">
      <w:pPr>
        <w:rPr>
          <w:b w:val="1"/>
          <w:sz w:val="36"/>
          <w:szCs w:val="36"/>
          <w:u w:val="single"/>
        </w:rPr>
      </w:pPr>
      <w:r w:rsidDel="00000000" w:rsidR="00000000" w:rsidRPr="00000000">
        <w:rPr>
          <w:rtl w:val="0"/>
        </w:rPr>
      </w:r>
    </w:p>
    <w:p w:rsidR="00000000" w:rsidDel="00000000" w:rsidP="00000000" w:rsidRDefault="00000000" w:rsidRPr="00000000" w14:paraId="00000073">
      <w:pPr>
        <w:rPr>
          <w:b w:val="1"/>
          <w:sz w:val="36"/>
          <w:szCs w:val="36"/>
          <w:u w:val="single"/>
        </w:rPr>
      </w:pPr>
      <w:r w:rsidDel="00000000" w:rsidR="00000000" w:rsidRPr="00000000">
        <w:rPr>
          <w:rtl w:val="0"/>
        </w:rPr>
      </w:r>
    </w:p>
    <w:p w:rsidR="00000000" w:rsidDel="00000000" w:rsidP="00000000" w:rsidRDefault="00000000" w:rsidRPr="00000000" w14:paraId="00000074">
      <w:pPr>
        <w:rPr>
          <w:b w:val="1"/>
          <w:sz w:val="36"/>
          <w:szCs w:val="36"/>
          <w:u w:val="single"/>
        </w:rPr>
      </w:pPr>
      <w:r w:rsidDel="00000000" w:rsidR="00000000" w:rsidRPr="00000000">
        <w:rPr>
          <w:rtl w:val="0"/>
        </w:rPr>
      </w:r>
    </w:p>
    <w:p w:rsidR="00000000" w:rsidDel="00000000" w:rsidP="00000000" w:rsidRDefault="00000000" w:rsidRPr="00000000" w14:paraId="00000075">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Open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asini.net/blog/2018/03/01/mysql-security-password-validation-plugin/" TargetMode="External"/><Relationship Id="rId22" Type="http://schemas.openxmlformats.org/officeDocument/2006/relationships/hyperlink" Target="https://en.wikipedia.org/wiki/Payment_Card_Industry_Data_Security_Standard" TargetMode="External"/><Relationship Id="rId21" Type="http://schemas.openxmlformats.org/officeDocument/2006/relationships/hyperlink" Target="https://www.eugdpr.org/" TargetMode="External"/><Relationship Id="rId24" Type="http://schemas.openxmlformats.org/officeDocument/2006/relationships/hyperlink" Target="https://www.w3schools.com/php/func_string_printf.asp" TargetMode="External"/><Relationship Id="rId23" Type="http://schemas.openxmlformats.org/officeDocument/2006/relationships/hyperlink" Target="https://en.wikipedia.org/wiki/Health_Insurance_Portability_and_Accountability_A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altium.com/p/how-use-altium-designer-quickly-create-component-footprint#define-component-height-and-area" TargetMode="External"/><Relationship Id="rId26" Type="http://schemas.openxmlformats.org/officeDocument/2006/relationships/hyperlink" Target="https://www.w3schools.com/php/func_string_vsprintf.asp" TargetMode="External"/><Relationship Id="rId25" Type="http://schemas.openxmlformats.org/officeDocument/2006/relationships/hyperlink" Target="https://www.w3schools.com/php/func_string_vprintf.asp" TargetMode="External"/><Relationship Id="rId28" Type="http://schemas.openxmlformats.org/officeDocument/2006/relationships/hyperlink" Target="https://www.w3schools.com/php/func_string_vfprintf.asp" TargetMode="External"/><Relationship Id="rId27" Type="http://schemas.openxmlformats.org/officeDocument/2006/relationships/hyperlink" Target="https://www.w3schools.com/php/func_string_fprintf.as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resources.altium.com/p/how-use-altium-designer-quickly-create-component-footprint#create-pads" TargetMode="External"/><Relationship Id="rId11" Type="http://schemas.openxmlformats.org/officeDocument/2006/relationships/hyperlink" Target="https://resources.altium.com/p/how-use-altium-designer-quickly-create-component-footprint#save-the-footprint" TargetMode="External"/><Relationship Id="rId10" Type="http://schemas.openxmlformats.org/officeDocument/2006/relationships/hyperlink" Target="https://resources.altium.com/p/how-use-altium-designer-quickly-create-component-footprint#add-silk-screen-information" TargetMode="External"/><Relationship Id="rId13" Type="http://schemas.openxmlformats.org/officeDocument/2006/relationships/image" Target="media/image2.png"/><Relationship Id="rId12" Type="http://schemas.openxmlformats.org/officeDocument/2006/relationships/hyperlink" Target="http://ww1.microchip.com/downloads/en/DeviceDoc/39881e.pdf" TargetMode="External"/><Relationship Id="rId15" Type="http://schemas.openxmlformats.org/officeDocument/2006/relationships/hyperlink" Target="http://dasini.net/blog/2018/04/10/mysql-security-mysql-enterprise-transparent-data-encryption/" TargetMode="External"/><Relationship Id="rId14" Type="http://schemas.openxmlformats.org/officeDocument/2006/relationships/image" Target="media/image4.png"/><Relationship Id="rId17" Type="http://schemas.openxmlformats.org/officeDocument/2006/relationships/hyperlink" Target="http://dasini.net/blog/2019/03/19/mysql-security-mysql-enterprise-data-masking-and-de-identification/" TargetMode="External"/><Relationship Id="rId16" Type="http://schemas.openxmlformats.org/officeDocument/2006/relationships/hyperlink" Target="http://dasini.net/blog/2018/04/04/mysql-security-mysql-enterprise-audit/" TargetMode="External"/><Relationship Id="rId19" Type="http://schemas.openxmlformats.org/officeDocument/2006/relationships/hyperlink" Target="http://dasini.net/blog/2018/03/07/mysql-security-password-management/" TargetMode="External"/><Relationship Id="rId18" Type="http://schemas.openxmlformats.org/officeDocument/2006/relationships/hyperlink" Target="http://dasini.net/blog/2018/04/16/mysql-security-mysql-enterprise-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