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10/07/2020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Machine learning</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Linear algebra</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Vectors</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10">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1">
            <w:pPr>
              <w:rPr>
                <w:b w:val="1"/>
                <w:sz w:val="24"/>
                <w:szCs w:val="24"/>
              </w:rPr>
            </w:pPr>
            <w:r w:rsidDel="00000000" w:rsidR="00000000" w:rsidRPr="00000000">
              <w:rPr>
                <w:rtl w:val="0"/>
              </w:rPr>
            </w:r>
          </w:p>
        </w:tc>
        <w:tc>
          <w:tcPr/>
          <w:p w:rsidR="00000000" w:rsidDel="00000000" w:rsidP="00000000" w:rsidRDefault="00000000" w:rsidRPr="00000000" w14:paraId="00000012">
            <w:pPr>
              <w:rPr>
                <w:b w:val="1"/>
                <w:sz w:val="24"/>
                <w:szCs w:val="24"/>
              </w:rPr>
            </w:pPr>
            <w:r w:rsidDel="00000000" w:rsidR="00000000" w:rsidRPr="00000000">
              <w:rPr>
                <w:rtl w:val="0"/>
              </w:rPr>
            </w:r>
          </w:p>
        </w:tc>
      </w:tr>
    </w:tbl>
    <w:p w:rsidR="00000000" w:rsidDel="00000000" w:rsidP="00000000" w:rsidRDefault="00000000" w:rsidRPr="00000000" w14:paraId="00000013">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2420471" cy="444425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20471" cy="44442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444873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20471" cy="44487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335306" cy="4459941"/>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35306" cy="445994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tc>
      </w:tr>
      <w:tr>
        <w:tc>
          <w:tcPr/>
          <w:p w:rsidR="00000000" w:rsidDel="00000000" w:rsidP="00000000" w:rsidRDefault="00000000" w:rsidRPr="00000000" w14:paraId="0000001C">
            <w:pPr>
              <w:rPr>
                <w:b w:val="1"/>
                <w:sz w:val="24"/>
                <w:szCs w:val="24"/>
              </w:rPr>
            </w:pPr>
            <w:r w:rsidDel="00000000" w:rsidR="00000000" w:rsidRPr="00000000">
              <w:rPr>
                <w:rtl w:val="0"/>
              </w:rPr>
            </w:r>
          </w:p>
        </w:tc>
      </w:tr>
    </w:tbl>
    <w:p w:rsidR="00000000" w:rsidDel="00000000" w:rsidP="00000000" w:rsidRDefault="00000000" w:rsidRPr="00000000" w14:paraId="0000001D">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10/07/2020</w:t>
            </w:r>
          </w:p>
        </w:tc>
        <w:tc>
          <w:tcPr/>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IoT</w:t>
            </w:r>
          </w:p>
        </w:tc>
        <w:tc>
          <w:tcPr/>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Chapter 05</w:t>
            </w:r>
          </w:p>
        </w:tc>
        <w:tc>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Pr>
              <w:drawing>
                <wp:inline distB="114300" distT="114300" distL="114300" distR="114300">
                  <wp:extent cx="2420471" cy="2039471"/>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20471" cy="203947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Pr>
              <w:drawing>
                <wp:inline distB="114300" distT="114300" distL="114300" distR="114300">
                  <wp:extent cx="2420471" cy="2059641"/>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20471" cy="205964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Pr>
              <w:drawing>
                <wp:inline distB="114300" distT="114300" distL="114300" distR="114300">
                  <wp:extent cx="2420471" cy="2064124"/>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20471" cy="20641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Pr>
              <w:drawing>
                <wp:inline distB="114300" distT="114300" distL="114300" distR="114300">
                  <wp:extent cx="2420471" cy="2046194"/>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20471" cy="204619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color w:val="980000"/>
                <w:sz w:val="24"/>
                <w:szCs w:val="24"/>
              </w:rPr>
            </w:pPr>
            <w:r w:rsidDel="00000000" w:rsidR="00000000" w:rsidRPr="00000000">
              <w:rPr>
                <w:b w:val="1"/>
                <w:color w:val="980000"/>
                <w:sz w:val="24"/>
                <w:szCs w:val="24"/>
                <w:rtl w:val="0"/>
              </w:rPr>
              <w:t xml:space="preserve">Data</w:t>
            </w:r>
          </w:p>
          <w:p w:rsidR="00000000" w:rsidDel="00000000" w:rsidP="00000000" w:rsidRDefault="00000000" w:rsidRPr="00000000" w14:paraId="00000048">
            <w:pPr>
              <w:rPr>
                <w:b w:val="1"/>
                <w:color w:val="980000"/>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Types of Data</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Has data really changed? Well technically no, data generated by computers and digital devices is still groups of 1s and 0s. That has not changed. What has changed is the quantity, volume, variety, and immediacy of the generated data.</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Historically companies would have access to our information gathered from forms, spreadsheets, applications, credit card purchases and other types of files. Much of the information was stored and analyzed at a later date. Sensitive data was still collected, stored and analyzed but, historically, hackers were more interested in hacking into systems to obtain corporate or government secrets.</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Today, gathered data is taking on new characteristics. The digitized world has opened the floodgates for data gathering. IoT sensor-enabled devices are collecting more and more data of a personal nature. Wearable fitness trackers, home monitoring systems, security cameras, and debit card transactions are all collecting personal data as well as business 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Personally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Because we are gathering and storing exponential quantities of both sensitive and informational data, it has increased the need for extra security to protect this information from natural disasters, hackers, and misuse.</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color w:val="980000"/>
                <w:sz w:val="24"/>
                <w:szCs w:val="24"/>
              </w:rPr>
            </w:pPr>
            <w:r w:rsidDel="00000000" w:rsidR="00000000" w:rsidRPr="00000000">
              <w:rPr>
                <w:b w:val="1"/>
                <w:color w:val="980000"/>
                <w:sz w:val="24"/>
                <w:szCs w:val="24"/>
                <w:rtl w:val="0"/>
              </w:rPr>
              <w:t xml:space="preserve">Security</w:t>
            </w:r>
          </w:p>
          <w:p w:rsidR="00000000" w:rsidDel="00000000" w:rsidP="00000000" w:rsidRDefault="00000000" w:rsidRPr="00000000" w14:paraId="00000055">
            <w:pPr>
              <w:rPr>
                <w:b w:val="1"/>
                <w:color w:val="980000"/>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Securing the network involves all of the protocols, technologies, devices, tools, and techniques that secure data and mitigate threats. Network security is largely driven by the effort to stay one step ahead of ill-intentioned hackers. Just as medical doctors attempt to prevent new illnesses while treating existing problems, network security professionals attempt to prevent potential attacks while minimizing the effects of real-time attacks. Networks are routinely under attack. It is common to read in the news about yet another network that has been compromised.</w:t>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Security policies, procedures, and standards must be followed in the design of all aspects of the entire network. This should include the cables, data in transit, stored data, networking devices, and end devices.</w:t>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color w:val="980000"/>
                <w:sz w:val="24"/>
                <w:szCs w:val="24"/>
              </w:rPr>
            </w:pPr>
            <w:r w:rsidDel="00000000" w:rsidR="00000000" w:rsidRPr="00000000">
              <w:rPr>
                <w:b w:val="1"/>
                <w:color w:val="980000"/>
                <w:sz w:val="24"/>
                <w:szCs w:val="24"/>
                <w:rtl w:val="0"/>
              </w:rPr>
              <w:t xml:space="preserve">Physical security</w:t>
            </w:r>
          </w:p>
          <w:p w:rsidR="00000000" w:rsidDel="00000000" w:rsidP="00000000" w:rsidRDefault="00000000" w:rsidRPr="00000000" w14:paraId="0000005B">
            <w:pPr>
              <w:rPr>
                <w:b w:val="1"/>
                <w:color w:val="980000"/>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Physical Security</w:t>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Today’s data centers store vast quantities of sensitive, business-critical information; therefore, physical security is an operational priority. Physical security not only protects access to the premises, but also protects people and equipment. For example, fire alarms, sprinklers, seismically-braced server racks, and redundant heating, ventilation, and air conditioning (HVAC) and UPS systems are in place to protect people and equipment.</w:t>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Select each circle for more information.</w:t>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Physical security within the data center can be divided into two areas, outside and inside.</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numPr>
                <w:ilvl w:val="0"/>
                <w:numId w:val="1"/>
              </w:numPr>
              <w:ind w:left="720" w:hanging="360"/>
              <w:rPr>
                <w:b w:val="1"/>
                <w:sz w:val="24"/>
                <w:szCs w:val="24"/>
                <w:u w:val="none"/>
              </w:rPr>
            </w:pPr>
            <w:r w:rsidDel="00000000" w:rsidR="00000000" w:rsidRPr="00000000">
              <w:rPr>
                <w:b w:val="1"/>
                <w:sz w:val="24"/>
                <w:szCs w:val="24"/>
                <w:rtl w:val="0"/>
              </w:rPr>
              <w:t xml:space="preserve">Outside perimeter security - This can include on-premise security officers, fences, gates, continuous video surveillance, and security breach alarms.</w:t>
            </w:r>
          </w:p>
          <w:p w:rsidR="00000000" w:rsidDel="00000000" w:rsidP="00000000" w:rsidRDefault="00000000" w:rsidRPr="00000000" w14:paraId="00000063">
            <w:pPr>
              <w:numPr>
                <w:ilvl w:val="0"/>
                <w:numId w:val="1"/>
              </w:numPr>
              <w:ind w:left="720" w:hanging="360"/>
              <w:rPr>
                <w:b w:val="1"/>
                <w:sz w:val="24"/>
                <w:szCs w:val="24"/>
                <w:u w:val="none"/>
              </w:rPr>
            </w:pPr>
            <w:r w:rsidDel="00000000" w:rsidR="00000000" w:rsidRPr="00000000">
              <w:rPr>
                <w:b w:val="1"/>
                <w:sz w:val="24"/>
                <w:szCs w:val="24"/>
                <w:rtl w:val="0"/>
              </w:rPr>
              <w:t xml:space="preserve">Inside perimeter security - This can include continuous video surveillance, electronic motion detectors, security traps, and biometric access and exit sensors.</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Security traps provide access to the data halls where data center data is stored. As shown in security traps are similar to an air lock. A person must first enter the security trap using their badge ID proximity card. After the person is inside the security trap, facial recognition, fingerprints, or other biometric verifications are used to open the second door. The user must repeat the process to exit the data hall.</w:t>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tc>
      </w:tr>
    </w:tbl>
    <w:p w:rsidR="00000000" w:rsidDel="00000000" w:rsidP="00000000" w:rsidRDefault="00000000" w:rsidRPr="00000000" w14:paraId="0000006B">
      <w:pPr>
        <w:rPr>
          <w:b w:val="1"/>
          <w:sz w:val="24"/>
          <w:szCs w:val="24"/>
        </w:rPr>
      </w:pPr>
      <w:r w:rsidDel="00000000" w:rsidR="00000000" w:rsidRPr="00000000">
        <w:rPr>
          <w:rtl w:val="0"/>
        </w:rPr>
      </w:r>
    </w:p>
    <w:sectPr>
      <w:pgSz w:h="16838" w:w="11906"/>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