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DAILY ASSESSMENT FORMAT</w:t>
      </w:r>
    </w:p>
    <w:tbl>
      <w:tblPr>
        <w:tblStyle w:val="Table1"/>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2"/>
        <w:gridCol w:w="3856"/>
        <w:gridCol w:w="1341"/>
        <w:gridCol w:w="3511"/>
        <w:tblGridChange w:id="0">
          <w:tblGrid>
            <w:gridCol w:w="1362"/>
            <w:gridCol w:w="3856"/>
            <w:gridCol w:w="1341"/>
            <w:gridCol w:w="3511"/>
          </w:tblGrid>
        </w:tblGridChange>
      </w:tblGrid>
      <w:tr>
        <w:tc>
          <w:tcPr/>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15/07/2020</w:t>
            </w:r>
          </w:p>
        </w:tc>
        <w:tc>
          <w:tcPr/>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Machine learning</w:t>
            </w:r>
          </w:p>
        </w:tc>
        <w:tc>
          <w:tcPr/>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USN:</w:t>
            </w:r>
          </w:p>
        </w:tc>
        <w:tc>
          <w:tcPr/>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Module 02</w:t>
            </w:r>
          </w:p>
        </w:tc>
        <w:tc>
          <w:tcPr/>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Semester &amp; Section:</w:t>
            </w:r>
          </w:p>
        </w:tc>
        <w:tc>
          <w:tcPr/>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6th A</w:t>
            </w:r>
          </w:p>
        </w:tc>
      </w:tr>
      <w:tr>
        <w:tc>
          <w:tcPr/>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Github Repository:</w:t>
            </w:r>
          </w:p>
        </w:tc>
        <w:tc>
          <w:tcPr/>
          <w:p w:rsidR="00000000" w:rsidDel="00000000" w:rsidP="00000000" w:rsidRDefault="00000000" w:rsidRPr="00000000" w14:paraId="0000000F">
            <w:pPr>
              <w:rPr>
                <w:b w:val="1"/>
                <w:sz w:val="24"/>
                <w:szCs w:val="24"/>
              </w:rPr>
            </w:pPr>
            <w:bookmarkStart w:colFirst="0" w:colLast="0" w:name="_gjdgxs" w:id="0"/>
            <w:bookmarkEnd w:id="0"/>
            <w:r w:rsidDel="00000000" w:rsidR="00000000" w:rsidRPr="00000000">
              <w:rPr>
                <w:b w:val="1"/>
                <w:sz w:val="24"/>
                <w:szCs w:val="24"/>
                <w:rtl w:val="0"/>
              </w:rPr>
              <w:t xml:space="preserve">Lavanya-B</w:t>
            </w:r>
          </w:p>
        </w:tc>
        <w:tc>
          <w:tcPr/>
          <w:p w:rsidR="00000000" w:rsidDel="00000000" w:rsidP="00000000" w:rsidRDefault="00000000" w:rsidRPr="00000000" w14:paraId="00000010">
            <w:pPr>
              <w:rPr>
                <w:b w:val="1"/>
                <w:sz w:val="24"/>
                <w:szCs w:val="24"/>
              </w:rPr>
            </w:pPr>
            <w:r w:rsidDel="00000000" w:rsidR="00000000" w:rsidRPr="00000000">
              <w:rPr>
                <w:rtl w:val="0"/>
              </w:rPr>
            </w:r>
          </w:p>
        </w:tc>
        <w:tc>
          <w:tcPr/>
          <w:p w:rsidR="00000000" w:rsidDel="00000000" w:rsidP="00000000" w:rsidRDefault="00000000" w:rsidRPr="00000000" w14:paraId="00000011">
            <w:pPr>
              <w:rPr>
                <w:b w:val="1"/>
                <w:sz w:val="24"/>
                <w:szCs w:val="24"/>
              </w:rPr>
            </w:pPr>
            <w:r w:rsidDel="00000000" w:rsidR="00000000" w:rsidRPr="00000000">
              <w:rPr>
                <w:rtl w:val="0"/>
              </w:rPr>
            </w:r>
          </w:p>
        </w:tc>
      </w:tr>
    </w:tbl>
    <w:p w:rsidR="00000000" w:rsidDel="00000000" w:rsidP="00000000" w:rsidRDefault="00000000" w:rsidRPr="00000000" w14:paraId="00000012">
      <w:pPr>
        <w:rPr>
          <w:b w:val="1"/>
          <w:sz w:val="24"/>
          <w:szCs w:val="24"/>
        </w:rPr>
      </w:pPr>
      <w:r w:rsidDel="00000000" w:rsidR="00000000" w:rsidRPr="00000000">
        <w:rPr>
          <w:rtl w:val="0"/>
        </w:rPr>
      </w:r>
    </w:p>
    <w:tbl>
      <w:tblPr>
        <w:tblStyle w:val="Table2"/>
        <w:tblW w:w="99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85"/>
        <w:tblGridChange w:id="0">
          <w:tblGrid>
            <w:gridCol w:w="9985"/>
          </w:tblGrid>
        </w:tblGridChange>
      </w:tblGrid>
      <w:tr>
        <w:tc>
          <w:tcPr/>
          <w:p w:rsidR="00000000" w:rsidDel="00000000" w:rsidP="00000000" w:rsidRDefault="00000000" w:rsidRPr="00000000" w14:paraId="00000013">
            <w:pPr>
              <w:jc w:val="center"/>
              <w:rPr>
                <w:b w:val="1"/>
                <w:sz w:val="24"/>
                <w:szCs w:val="24"/>
              </w:rPr>
            </w:pPr>
            <w:r w:rsidDel="00000000" w:rsidR="00000000" w:rsidRPr="00000000">
              <w:rPr>
                <w:b w:val="1"/>
                <w:sz w:val="24"/>
                <w:szCs w:val="24"/>
                <w:rtl w:val="0"/>
              </w:rPr>
              <w:t xml:space="preserve">FORENOON SESSION DETAILS</w:t>
            </w:r>
          </w:p>
        </w:tc>
      </w:tr>
      <w:tr>
        <w:tc>
          <w:tcPr/>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b w:val="1"/>
                <w:sz w:val="24"/>
                <w:szCs w:val="24"/>
              </w:rPr>
              <w:drawing>
                <wp:inline distB="114300" distT="114300" distL="114300" distR="114300">
                  <wp:extent cx="2420471" cy="4424082"/>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420471" cy="442408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b w:val="1"/>
                <w:sz w:val="24"/>
                <w:szCs w:val="24"/>
              </w:rPr>
              <w:drawing>
                <wp:inline distB="114300" distT="114300" distL="114300" distR="114300">
                  <wp:extent cx="2420471" cy="4464424"/>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420471" cy="446442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Pr>
              <w:drawing>
                <wp:inline distB="114300" distT="114300" distL="114300" distR="114300">
                  <wp:extent cx="2420471" cy="4464424"/>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420471" cy="446442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Pr>
              <w:drawing>
                <wp:inline distB="114300" distT="114300" distL="114300" distR="114300">
                  <wp:extent cx="2420471" cy="4433047"/>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420471" cy="4433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tc>
      </w:tr>
      <w:tr>
        <w:tc>
          <w:tcPr/>
          <w:p w:rsidR="00000000" w:rsidDel="00000000" w:rsidP="00000000" w:rsidRDefault="00000000" w:rsidRPr="00000000" w14:paraId="00000021">
            <w:pPr>
              <w:rPr>
                <w:b w:val="1"/>
                <w:sz w:val="24"/>
                <w:szCs w:val="24"/>
              </w:rPr>
            </w:pPr>
            <w:r w:rsidDel="00000000" w:rsidR="00000000" w:rsidRPr="00000000">
              <w:rPr>
                <w:rtl w:val="0"/>
              </w:rPr>
            </w:r>
          </w:p>
        </w:tc>
      </w:tr>
    </w:tbl>
    <w:p w:rsidR="00000000" w:rsidDel="00000000" w:rsidP="00000000" w:rsidRDefault="00000000" w:rsidRPr="00000000" w14:paraId="00000022">
      <w:pPr>
        <w:rPr>
          <w:b w:val="1"/>
          <w:sz w:val="24"/>
          <w:szCs w:val="24"/>
        </w:rPr>
      </w:pPr>
      <w:r w:rsidDel="00000000" w:rsidR="00000000" w:rsidRPr="00000000">
        <w:rPr>
          <w:rtl w:val="0"/>
        </w:rPr>
      </w:r>
    </w:p>
    <w:tbl>
      <w:tblPr>
        <w:tblStyle w:val="Table3"/>
        <w:tblW w:w="100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85"/>
        <w:gridCol w:w="4049"/>
        <w:gridCol w:w="1351"/>
        <w:gridCol w:w="3600"/>
        <w:gridCol w:w="85"/>
        <w:tblGridChange w:id="0">
          <w:tblGrid>
            <w:gridCol w:w="985"/>
            <w:gridCol w:w="4049"/>
            <w:gridCol w:w="1351"/>
            <w:gridCol w:w="3600"/>
            <w:gridCol w:w="85"/>
          </w:tblGrid>
        </w:tblGridChange>
      </w:tblGrid>
      <w:tr>
        <w:tc>
          <w:tcPr/>
          <w:p w:rsidR="00000000" w:rsidDel="00000000" w:rsidP="00000000" w:rsidRDefault="00000000" w:rsidRPr="00000000" w14:paraId="00000023">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15/07/2020</w:t>
            </w:r>
          </w:p>
        </w:tc>
        <w:tc>
          <w:tcPr/>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Name:</w:t>
            </w:r>
          </w:p>
        </w:tc>
        <w:tc>
          <w:tcPr>
            <w:gridSpan w:val="2"/>
          </w:tcPr>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29">
            <w:pPr>
              <w:rPr>
                <w:b w:val="1"/>
                <w:sz w:val="24"/>
                <w:szCs w:val="24"/>
              </w:rPr>
            </w:pPr>
            <w:r w:rsidDel="00000000" w:rsidR="00000000" w:rsidRPr="00000000">
              <w:rPr>
                <w:b w:val="1"/>
                <w:sz w:val="24"/>
                <w:szCs w:val="24"/>
                <w:rtl w:val="0"/>
              </w:rPr>
              <w:t xml:space="preserve">Salesforce</w:t>
            </w:r>
          </w:p>
        </w:tc>
        <w:tc>
          <w:tcPr/>
          <w:p w:rsidR="00000000" w:rsidDel="00000000" w:rsidP="00000000" w:rsidRDefault="00000000" w:rsidRPr="00000000" w14:paraId="0000002A">
            <w:pPr>
              <w:rPr>
                <w:b w:val="1"/>
                <w:sz w:val="24"/>
                <w:szCs w:val="24"/>
              </w:rPr>
            </w:pPr>
            <w:r w:rsidDel="00000000" w:rsidR="00000000" w:rsidRPr="00000000">
              <w:rPr>
                <w:b w:val="1"/>
                <w:sz w:val="24"/>
                <w:szCs w:val="24"/>
                <w:rtl w:val="0"/>
              </w:rPr>
              <w:t xml:space="preserve">USN:</w:t>
            </w:r>
          </w:p>
        </w:tc>
        <w:tc>
          <w:tcPr>
            <w:gridSpan w:val="2"/>
          </w:tcPr>
          <w:p w:rsidR="00000000" w:rsidDel="00000000" w:rsidP="00000000" w:rsidRDefault="00000000" w:rsidRPr="00000000" w14:paraId="0000002B">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2D">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Trialhead</w:t>
            </w:r>
          </w:p>
        </w:tc>
        <w:tc>
          <w:tcPr/>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Semester &amp; Section:</w:t>
            </w:r>
          </w:p>
        </w:tc>
        <w:tc>
          <w:tcPr>
            <w:gridSpan w:val="2"/>
          </w:tcPr>
          <w:p w:rsidR="00000000" w:rsidDel="00000000" w:rsidP="00000000" w:rsidRDefault="00000000" w:rsidRPr="00000000" w14:paraId="00000030">
            <w:pPr>
              <w:rPr>
                <w:b w:val="1"/>
                <w:sz w:val="24"/>
                <w:szCs w:val="24"/>
              </w:rPr>
            </w:pPr>
            <w:r w:rsidDel="00000000" w:rsidR="00000000" w:rsidRPr="00000000">
              <w:rPr>
                <w:b w:val="1"/>
                <w:sz w:val="24"/>
                <w:szCs w:val="24"/>
                <w:rtl w:val="0"/>
              </w:rPr>
              <w:t xml:space="preserve">6th A</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jc w:val="center"/>
              <w:rPr>
                <w:b w:val="1"/>
                <w:sz w:val="24"/>
                <w:szCs w:val="24"/>
              </w:rPr>
            </w:pPr>
            <w:r w:rsidDel="00000000" w:rsidR="00000000" w:rsidRPr="00000000">
              <w:rPr>
                <w:b w:val="1"/>
                <w:sz w:val="24"/>
                <w:szCs w:val="24"/>
                <w:rtl w:val="0"/>
              </w:rPr>
              <w:t xml:space="preserve">AFTERNOON SESSION DETAILS</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b w:val="1"/>
                <w:sz w:val="24"/>
                <w:szCs w:val="24"/>
              </w:rPr>
              <w:drawing>
                <wp:inline distB="114300" distT="114300" distL="114300" distR="114300">
                  <wp:extent cx="2420471" cy="4394947"/>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420471" cy="439494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b w:val="1"/>
                <w:sz w:val="24"/>
                <w:szCs w:val="24"/>
              </w:rPr>
              <w:drawing>
                <wp:inline distB="114300" distT="114300" distL="114300" distR="114300">
                  <wp:extent cx="2420471" cy="4215653"/>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420471" cy="421565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b w:val="1"/>
                <w:sz w:val="24"/>
                <w:szCs w:val="24"/>
              </w:rPr>
              <w:drawing>
                <wp:inline distB="114300" distT="114300" distL="114300" distR="114300">
                  <wp:extent cx="2420471" cy="4359088"/>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420471" cy="435908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rtl w:val="0"/>
              </w:rPr>
            </w:r>
          </w:p>
        </w:tc>
      </w:tr>
      <w:tr>
        <w:trPr>
          <w:trHeight w:val="9170" w:hRule="atLeast"/>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Report</w:t>
            </w:r>
          </w:p>
          <w:p w:rsidR="00000000" w:rsidDel="00000000" w:rsidP="00000000" w:rsidRDefault="00000000" w:rsidRPr="00000000" w14:paraId="00000046">
            <w:pPr>
              <w:rPr>
                <w:b w:val="1"/>
                <w:sz w:val="24"/>
                <w:szCs w:val="24"/>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 Computing, is adopting Salesforce. You’re the administrator of this org. An org is an identifier that represents a customer’s version of Salesforce and its data within an instance. However, you know the org requires some preparation before users start to log in.</w:t>
            </w:r>
          </w:p>
          <w:p w:rsidR="00000000" w:rsidDel="00000000" w:rsidP="00000000" w:rsidRDefault="00000000" w:rsidRPr="00000000" w14:paraId="00000048">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project, you get hands-on practice preparing your org for end users—from setting up the exchange rate and customizing your users’ home page to creating unique list views and creating public/private Chatter groups.</w:t>
            </w:r>
          </w:p>
          <w:p w:rsidR="00000000" w:rsidDel="00000000" w:rsidP="00000000" w:rsidRDefault="00000000" w:rsidRPr="00000000" w14:paraId="0000004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completing these steps, you learn various ways to customize your org before your end users start using Salesforce. Anticipating users’ needs before they even log in makes adoption of Salesforce even smoother. Happy end users = happy administrator!</w:t>
            </w:r>
          </w:p>
          <w:p w:rsidR="00000000" w:rsidDel="00000000" w:rsidP="00000000" w:rsidRDefault="00000000" w:rsidRPr="00000000" w14:paraId="0000004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line="276" w:lineRule="auto"/>
              <w:rPr>
                <w:b w:val="1"/>
                <w:sz w:val="24"/>
                <w:szCs w:val="24"/>
              </w:rPr>
            </w:pPr>
            <w:r w:rsidDel="00000000" w:rsidR="00000000" w:rsidRPr="00000000">
              <w:rPr>
                <w:rFonts w:ascii="Times New Roman" w:cs="Times New Roman" w:eastAsia="Times New Roman" w:hAnsi="Times New Roman"/>
                <w:sz w:val="28"/>
                <w:szCs w:val="28"/>
                <w:rtl w:val="0"/>
              </w:rPr>
              <w:t xml:space="preserve">Since AW Computing is an international company, let’s start by turning on the multiple currencies option. Even if your company isn’t international, it is good to know how to work with multiple currencies within Salesforce.</w:t>
            </w:r>
            <w:r w:rsidDel="00000000" w:rsidR="00000000" w:rsidRPr="00000000">
              <w:rPr>
                <w:rtl w:val="0"/>
              </w:rPr>
            </w:r>
          </w:p>
        </w:tc>
      </w:tr>
    </w:tbl>
    <w:p w:rsidR="00000000" w:rsidDel="00000000" w:rsidP="00000000" w:rsidRDefault="00000000" w:rsidRPr="00000000" w14:paraId="00000051">
      <w:pPr>
        <w:rPr>
          <w:b w:val="1"/>
          <w:sz w:val="24"/>
          <w:szCs w:val="24"/>
        </w:rPr>
      </w:pPr>
      <w:r w:rsidDel="00000000" w:rsidR="00000000" w:rsidRPr="00000000">
        <w:rPr>
          <w:rtl w:val="0"/>
        </w:rPr>
      </w:r>
    </w:p>
    <w:sectPr>
      <w:pgSz w:h="15840" w:w="12240"/>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12" Type="http://schemas.openxmlformats.org/officeDocument/2006/relationships/image" Target="media/image1.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