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312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22/05/2020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TCSION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ARTIFICIAL INTELLIGENCE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FINAL ASSESSMENT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6th B 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0" style="width:420.100000pt;height:235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1" style="width:420.100000pt;height:235.8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12270">
                <v:rect xmlns:o="urn:schemas-microsoft-com:office:office" xmlns:v="urn:schemas-microsoft-com:vml" id="rectole0000000002" style="width:420.100000pt;height:613.5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5892">
                <v:rect xmlns:o="urn:schemas-microsoft-com:office:office" xmlns:v="urn:schemas-microsoft-com:vml" id="rectole0000000003" style="width:420.100000pt;height:294.6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85"/>
        <w:gridCol w:w="4049"/>
        <w:gridCol w:w="1351"/>
        <w:gridCol w:w="3600"/>
        <w:gridCol w:w="2014"/>
      </w:tblGrid>
      <w:tr>
        <w:trPr>
          <w:trHeight w:val="312" w:hRule="auto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22/05/2020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PYTHON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 ANALYSIS WITH PANDAS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NUMPY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6th B sec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4" style="width:420.100000pt;height:235.8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5" style="width:420.100000pt;height:235.8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2874" w:dyaOrig="2874">
                <v:rect xmlns:o="urn:schemas-microsoft-com:office:office" xmlns:v="urn:schemas-microsoft-com:vml" id="rectole0000000006" style="width:143.700000pt;height:143.7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PBrush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13221">
                <v:rect xmlns:o="urn:schemas-microsoft-com:office:office" xmlns:v="urn:schemas-microsoft-com:vml" id="rectole0000000007" style="width:420.100000pt;height:661.0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7937">
                <v:rect xmlns:o="urn:schemas-microsoft-com:office:office" xmlns:v="urn:schemas-microsoft-com:vml" id="rectole0000000008" style="width:420.100000pt;height:396.8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