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81"/>
        <w:gridCol w:w="1335"/>
        <w:gridCol w:w="3492"/>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28/07/2020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coursera</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Basic statistics </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70"/>
      </w:tblGrid>
      <w:tr>
        <w:trPr>
          <w:trHeight w:val="224" w:hRule="auto"/>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SESSION DETAILS </w:t>
            </w:r>
          </w:p>
        </w:tc>
      </w:tr>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0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Almost all statistical studies are based on samples. Imagine you want to know to what extent students in London identify themselves as hipsters. It's almost impossible to ask all students. So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or do regression analysis. All numerical summaries resulting from this computations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So in our case, all 300,000 students in London.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central question now is, what the mean hipsterness score in the wider population is? You know the relevant statistic in your example, x-bar equals 3.12, but what you actually want to know is what the mean hipsterness score in the wider population is. You want to know, in other words, the value of population parameter mu. Methods of inferential statistics can help us to answer such questions. So if you want to know more about that or about hipsters, watch the videos in this module very carefully.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sigma becomes 3, sigma x bar becomes 0.55, etc., etc. So if the standard deviation of the population distribution increases, the standard deviation of the sampling distribution increases as well. In other words, the larger the variability and the population, the larger the variability of the sample means.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mean of the sampling distribution, mu x bar equals the population mean, mu. And the standard deviation of the sampling distribution, sigma x bar, equals the standard deviation of the population distribution, sigma, divided by the square root of the sample size, 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59"/>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