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18ec046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global positioning system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A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Santhosh Reddy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168487" cy="271041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8487" cy="2710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507875" cy="2550827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07875" cy="2550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56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Introduction to global positioning system</w:t>
            </w:r>
          </w:p>
          <w:p>
            <w:pPr>
              <w:pStyle w:val="style0"/>
              <w:rPr>
                <w:b/>
                <w:color w:val="38761d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b/>
                <w:sz w:val="26"/>
                <w:szCs w:val="26"/>
              </w:rPr>
              <w:t>Global positioning system  can provide 24-hour, global, all-weather location services with high-precision and low-cost measurement. Since its birth, its high precision and globalization have attracted people’s attention. However, influenced by working conditions and other factors, GPS also has many shortcomings:</w:t>
            </w: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ind w:left="720" w:hanging="360"/>
              <w:rPr>
                <w:rFonts w:hint="default"/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hint="default"/>
                <w:b/>
                <w:sz w:val="26"/>
                <w:szCs w:val="26"/>
                <w:lang w:val="en-US"/>
              </w:rPr>
              <w:t>1.Poor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reliability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of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dynamic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environment: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GPS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positioning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requires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at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least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four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satellites’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signals.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During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dynamic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environment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especially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when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flying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with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high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mobility,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it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is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possible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that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multiple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satellites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lose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their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lock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at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the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same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time.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In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addition,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precision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positioning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using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observation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quantity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of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GPS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carrier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phase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requires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that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no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cycle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slips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occur.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However,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cycle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slips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often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generate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in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dynamic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environments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due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to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the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reduced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signal-to-noise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ratio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and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other</w:t>
            </w:r>
            <w:r>
              <w:rPr>
                <w:rFonts w:hint="default"/>
                <w:b/>
                <w:sz w:val="26"/>
                <w:szCs w:val="26"/>
              </w:rPr>
              <w:t xml:space="preserve"> </w:t>
            </w:r>
            <w:r>
              <w:rPr>
                <w:rFonts w:hint="default"/>
                <w:b/>
                <w:sz w:val="26"/>
                <w:szCs w:val="26"/>
              </w:rPr>
              <w:t>reasons;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7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    2. </w:t>
            </w:r>
            <w:r>
              <w:rPr>
                <w:b/>
                <w:sz w:val="26"/>
                <w:szCs w:val="26"/>
              </w:rPr>
              <w:t xml:space="preserve">Poor autonomy. GPS is not an autonomous navigation system and relies on </w:t>
            </w:r>
            <w:r>
              <w:rPr>
                <w:b/>
                <w:sz w:val="26"/>
                <w:szCs w:val="26"/>
                <w:lang w:val="en-US"/>
              </w:rPr>
              <w:t xml:space="preserve">          </w:t>
            </w:r>
            <w:r>
              <w:rPr>
                <w:b/>
                <w:sz w:val="26"/>
                <w:szCs w:val="26"/>
              </w:rPr>
              <w:t>the satellite’s radio signal.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76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7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3.  Susceptible</w:t>
            </w:r>
            <w:r>
              <w:rPr>
                <w:b/>
                <w:sz w:val="26"/>
                <w:szCs w:val="26"/>
              </w:rPr>
              <w:t xml:space="preserve"> to interference. Navstar’s radio signal is vulnerable to be</w:t>
            </w:r>
            <w:r>
              <w:rPr>
                <w:b/>
                <w:sz w:val="26"/>
                <w:szCs w:val="26"/>
                <w:lang w:val="en-US"/>
              </w:rPr>
              <w:t xml:space="preserve"> affected</w:t>
            </w:r>
            <w:r>
              <w:rPr>
                <w:b/>
                <w:sz w:val="26"/>
                <w:szCs w:val="26"/>
              </w:rPr>
              <w:t xml:space="preserve"> by the ionosphere, terrain shade, and other factors;Update frequency of receiver’s data is low, therefore it is difficult to meet the requirements</w:t>
            </w:r>
            <w:r>
              <w:rPr>
                <w:b/>
                <w:sz w:val="26"/>
                <w:szCs w:val="26"/>
                <w:lang w:val="en-US"/>
              </w:rPr>
              <w:t>.</w:t>
            </w: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spacing w:lineRule="auto" w:line="276"/>
              <w:rPr>
                <w:b/>
                <w:sz w:val="26"/>
                <w:szCs w:val="26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199</Words>
  <Characters>1228</Characters>
  <Application>WPS Office</Application>
  <Paragraphs>76</Paragraphs>
  <CharactersWithSpaces>1437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2020-07-02T15:11:16Z</dcterms:created>
  <dc:creator>WPS Office</dc:creator>
  <lastModifiedBy>RMX1807</lastModifiedBy>
  <dcterms:modified xsi:type="dcterms:W3CDTF">2020-07-02T15:26:18Z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