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8"/>
        <w:gridCol w:w="1342"/>
        <w:gridCol w:w="3532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03-06-2020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Electrical 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Evaluation of initial and final conditions in RL,RC, and RLC circuits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8261"/>
        <w:gridCol w:w="1723"/>
      </w:tblGrid>
      <w:tr>
        <w:trPr/>
        <w:tc>
          <w:tcPr>
            <w:tcW w:w="9985" w:type="dxa"/>
            <w:gridSpan w:val="2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16705" w:hRule="atLeast"/>
        </w:trPr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08758" cy="7688881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08758" cy="768888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852826" cy="680610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52826" cy="68061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9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03-06-2020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8: Build a web based financial graph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46821" cy="6692367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46821" cy="66923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802753" cy="7292113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02753" cy="72921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19002" cy="2368126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19002" cy="23681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535694" cy="2935623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35694" cy="29356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headerReference w:type="default" r:id="rId8"/>
      <w:footerReference w:type="default" r:id="rId9"/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footer" Target="footer2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102</Words>
  <Pages>3</Pages>
  <Characters>561</Characters>
  <Application>WPS Office</Application>
  <DocSecurity>0</DocSecurity>
  <Paragraphs>122</Paragraphs>
  <ScaleCrop>false</ScaleCrop>
  <LinksUpToDate>false</LinksUpToDate>
  <CharactersWithSpaces>632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2020-06-03T14:12:47Z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