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334890" w:rsidP="00DF7696">
            <w:pPr>
              <w:rPr>
                <w:b/>
                <w:sz w:val="24"/>
                <w:szCs w:val="24"/>
              </w:rPr>
            </w:pPr>
            <w:r>
              <w:rPr>
                <w:b/>
                <w:sz w:val="24"/>
                <w:szCs w:val="24"/>
              </w:rPr>
              <w:t xml:space="preserve">9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334890"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8044E0" w:rsidP="00DF7696">
            <w:pPr>
              <w:rPr>
                <w:b/>
                <w:sz w:val="24"/>
                <w:szCs w:val="24"/>
              </w:rPr>
            </w:pPr>
            <w:r>
              <w:rPr>
                <w:b/>
                <w:sz w:val="24"/>
                <w:szCs w:val="24"/>
              </w:rPr>
              <w:t>VLSI</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353CA3" w:rsidP="00DF7696">
            <w:pPr>
              <w:rPr>
                <w:b/>
                <w:sz w:val="24"/>
                <w:szCs w:val="24"/>
              </w:rPr>
            </w:pPr>
            <w:r>
              <w:rPr>
                <w:b/>
                <w:sz w:val="24"/>
                <w:szCs w:val="24"/>
              </w:rPr>
              <w:t>4</w:t>
            </w:r>
            <w:r w:rsidR="00334890">
              <w:rPr>
                <w:b/>
                <w:sz w:val="24"/>
                <w:szCs w:val="24"/>
              </w:rPr>
              <w:t>al16ec074</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097B2B" w:rsidRPr="008044E0" w:rsidRDefault="008044E0" w:rsidP="00AB77A9">
            <w:pPr>
              <w:pStyle w:val="NormalWeb"/>
              <w:shd w:val="clear" w:color="auto" w:fill="FFFFFF"/>
              <w:spacing w:before="0" w:beforeAutospacing="0" w:after="150" w:afterAutospacing="0"/>
              <w:rPr>
                <w:b/>
                <w:bCs/>
              </w:rPr>
            </w:pPr>
            <w:r w:rsidRPr="008044E0">
              <w:rPr>
                <w:b/>
                <w:bCs/>
              </w:rPr>
              <w:t>MOSFET - Enhancement Type MOSFET Explained(Construction, Working and Characteristics Explained)</w:t>
            </w:r>
          </w:p>
          <w:p w:rsidR="008044E0" w:rsidRPr="00097B2B" w:rsidRDefault="008044E0" w:rsidP="00AB77A9">
            <w:pPr>
              <w:pStyle w:val="NormalWeb"/>
              <w:shd w:val="clear" w:color="auto" w:fill="FFFFFF"/>
              <w:spacing w:before="0" w:beforeAutospacing="0" w:after="150" w:afterAutospacing="0"/>
              <w:rPr>
                <w:bCs/>
              </w:rPr>
            </w:pP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334890">
              <w:rPr>
                <w:b/>
                <w:sz w:val="24"/>
                <w:szCs w:val="24"/>
              </w:rPr>
              <w:t>-</w:t>
            </w:r>
            <w:r w:rsidR="00353CA3">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334890" w:rsidP="00AB77A9">
            <w:pPr>
              <w:rPr>
                <w:b/>
                <w:sz w:val="24"/>
                <w:szCs w:val="24"/>
              </w:rPr>
            </w:pPr>
            <w:proofErr w:type="spellStart"/>
            <w:r>
              <w:rPr>
                <w:b/>
                <w:sz w:val="24"/>
                <w:szCs w:val="24"/>
              </w:rPr>
              <w:t>shreya</w:t>
            </w:r>
            <w:proofErr w:type="spellEnd"/>
            <w:r w:rsidR="00353CA3">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153A9B">
            <w:pPr>
              <w:rPr>
                <w:b/>
                <w:sz w:val="24"/>
                <w:szCs w:val="24"/>
              </w:rPr>
            </w:pP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EE1671" w:rsidRDefault="008044E0" w:rsidP="00DF7696">
            <w:pPr>
              <w:rPr>
                <w:b/>
                <w:sz w:val="24"/>
                <w:szCs w:val="24"/>
              </w:rPr>
            </w:pPr>
            <w:r>
              <w:rPr>
                <w:noProof/>
              </w:rPr>
              <w:drawing>
                <wp:inline distT="0" distB="0" distL="0" distR="0">
                  <wp:extent cx="5090189" cy="29318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5090059" cy="2931812"/>
                          </a:xfrm>
                          <a:prstGeom prst="rect">
                            <a:avLst/>
                          </a:prstGeom>
                          <a:noFill/>
                          <a:ln>
                            <a:noFill/>
                          </a:ln>
                        </pic:spPr>
                      </pic:pic>
                    </a:graphicData>
                  </a:graphic>
                </wp:inline>
              </w:drawing>
            </w:r>
          </w:p>
          <w:p w:rsidR="00EE1671" w:rsidRDefault="008044E0" w:rsidP="00DF7696">
            <w:pPr>
              <w:rPr>
                <w:b/>
                <w:sz w:val="24"/>
                <w:szCs w:val="24"/>
              </w:rPr>
            </w:pPr>
            <w:r>
              <w:rPr>
                <w:noProof/>
              </w:rPr>
              <w:drawing>
                <wp:inline distT="0" distB="0" distL="0" distR="0">
                  <wp:extent cx="5635316" cy="2181225"/>
                  <wp:effectExtent l="19050" t="0" r="348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5637628" cy="2182120"/>
                          </a:xfrm>
                          <a:prstGeom prst="rect">
                            <a:avLst/>
                          </a:prstGeom>
                          <a:noFill/>
                          <a:ln>
                            <a:noFill/>
                          </a:ln>
                        </pic:spPr>
                      </pic:pic>
                    </a:graphicData>
                  </a:graphic>
                </wp:inline>
              </w:drawing>
            </w: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F529F8" w:rsidRDefault="00DF7696" w:rsidP="00353CA3">
            <w:pPr>
              <w:spacing w:line="360" w:lineRule="auto"/>
              <w:rPr>
                <w:rFonts w:ascii="Times New Roman" w:hAnsi="Times New Roman" w:cs="Times New Roman"/>
                <w:b/>
                <w:sz w:val="28"/>
                <w:szCs w:val="28"/>
              </w:rPr>
            </w:pPr>
            <w:r w:rsidRPr="00353CA3">
              <w:rPr>
                <w:rFonts w:ascii="Times New Roman" w:hAnsi="Times New Roman" w:cs="Times New Roman"/>
                <w:b/>
                <w:sz w:val="28"/>
                <w:szCs w:val="28"/>
              </w:rPr>
              <w:t>Repor</w:t>
            </w:r>
            <w:r w:rsidR="008044E0" w:rsidRPr="00353CA3">
              <w:rPr>
                <w:rFonts w:ascii="Times New Roman" w:hAnsi="Times New Roman" w:cs="Times New Roman"/>
                <w:b/>
                <w:sz w:val="28"/>
                <w:szCs w:val="28"/>
              </w:rPr>
              <w:t>t</w:t>
            </w:r>
          </w:p>
          <w:p w:rsidR="00353CA3" w:rsidRPr="00353CA3" w:rsidRDefault="00353CA3" w:rsidP="00353CA3">
            <w:pPr>
              <w:spacing w:line="360" w:lineRule="auto"/>
              <w:rPr>
                <w:rFonts w:ascii="Times New Roman" w:hAnsi="Times New Roman" w:cs="Times New Roman"/>
                <w:b/>
                <w:sz w:val="28"/>
                <w:szCs w:val="28"/>
              </w:rPr>
            </w:pPr>
          </w:p>
          <w:p w:rsidR="008044E0" w:rsidRPr="00353CA3" w:rsidRDefault="008044E0" w:rsidP="008044E0">
            <w:pPr>
              <w:shd w:val="clear" w:color="auto" w:fill="FFFFFF"/>
              <w:spacing w:after="150"/>
              <w:rPr>
                <w:rFonts w:ascii="Times New Roman" w:eastAsia="Times New Roman" w:hAnsi="Times New Roman" w:cs="Times New Roman"/>
                <w:b/>
                <w:color w:val="333333"/>
                <w:sz w:val="24"/>
                <w:szCs w:val="24"/>
              </w:rPr>
            </w:pPr>
            <w:r w:rsidRPr="00353CA3">
              <w:rPr>
                <w:rFonts w:ascii="Times New Roman" w:eastAsia="Times New Roman" w:hAnsi="Times New Roman" w:cs="Times New Roman"/>
                <w:b/>
                <w:color w:val="333333"/>
                <w:sz w:val="24"/>
                <w:szCs w:val="24"/>
              </w:rPr>
              <w:t>4:1 mux using pass transistor logic</w:t>
            </w:r>
          </w:p>
          <w:p w:rsidR="008044E0" w:rsidRPr="008044E0" w:rsidRDefault="008044E0" w:rsidP="008044E0">
            <w:pPr>
              <w:spacing w:line="360" w:lineRule="auto"/>
              <w:jc w:val="center"/>
              <w:rPr>
                <w:rFonts w:ascii="Times New Roman" w:hAnsi="Times New Roman" w:cs="Times New Roman"/>
                <w:b/>
                <w:sz w:val="44"/>
                <w:szCs w:val="44"/>
              </w:rPr>
            </w:pPr>
            <w:r>
              <w:rPr>
                <w:noProof/>
              </w:rPr>
              <w:drawing>
                <wp:inline distT="0" distB="0" distL="0" distR="0">
                  <wp:extent cx="43719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71975" cy="3038475"/>
                          </a:xfrm>
                          <a:prstGeom prst="rect">
                            <a:avLst/>
                          </a:prstGeom>
                          <a:noFill/>
                          <a:ln>
                            <a:noFill/>
                          </a:ln>
                        </pic:spPr>
                      </pic:pic>
                    </a:graphicData>
                  </a:graphic>
                </wp:inline>
              </w:drawing>
            </w:r>
          </w:p>
          <w:p w:rsidR="00F529F8" w:rsidRDefault="00F529F8" w:rsidP="00167C95">
            <w:pPr>
              <w:shd w:val="clear" w:color="auto" w:fill="FFFFFF"/>
              <w:ind w:left="720"/>
              <w:jc w:val="both"/>
              <w:rPr>
                <w:rFonts w:ascii="Times New Roman" w:hAnsi="Times New Roman" w:cs="Times New Roman"/>
                <w:sz w:val="28"/>
                <w:szCs w:val="28"/>
              </w:rPr>
            </w:pPr>
          </w:p>
          <w:p w:rsidR="00FB3DFB" w:rsidRDefault="00FB3DFB" w:rsidP="008044E0">
            <w:pPr>
              <w:shd w:val="clear" w:color="auto" w:fill="FFFFFF"/>
              <w:spacing w:after="150"/>
              <w:rPr>
                <w:rFonts w:ascii="Source Sans Pro" w:eastAsia="Times New Roman" w:hAnsi="Source Sans Pro" w:cs="Times New Roman"/>
                <w:color w:val="333333"/>
                <w:sz w:val="24"/>
                <w:szCs w:val="24"/>
              </w:rPr>
            </w:pPr>
          </w:p>
          <w:p w:rsidR="008044E0" w:rsidRDefault="008044E0" w:rsidP="00FB3DFB">
            <w:pPr>
              <w:shd w:val="clear" w:color="auto" w:fill="FFFFFF"/>
              <w:spacing w:after="150"/>
              <w:jc w:val="both"/>
              <w:rPr>
                <w:rFonts w:ascii="Times New Roman" w:eastAsia="Times New Roman" w:hAnsi="Times New Roman" w:cs="Times New Roman"/>
                <w:color w:val="333333"/>
                <w:sz w:val="28"/>
                <w:szCs w:val="28"/>
              </w:rPr>
            </w:pPr>
            <w:r w:rsidRPr="00353CA3">
              <w:rPr>
                <w:rFonts w:ascii="Times New Roman" w:eastAsia="Times New Roman" w:hAnsi="Times New Roman" w:cs="Times New Roman"/>
                <w:b/>
                <w:color w:val="333333"/>
                <w:sz w:val="28"/>
                <w:szCs w:val="28"/>
              </w:rPr>
              <w:t>Advantages of using transmission gate logic</w:t>
            </w:r>
          </w:p>
          <w:p w:rsidR="00353CA3" w:rsidRPr="008044E0" w:rsidRDefault="00353CA3" w:rsidP="00FB3DFB">
            <w:pPr>
              <w:shd w:val="clear" w:color="auto" w:fill="FFFFFF"/>
              <w:spacing w:after="150"/>
              <w:jc w:val="both"/>
              <w:rPr>
                <w:rFonts w:ascii="Times New Roman" w:eastAsia="Times New Roman" w:hAnsi="Times New Roman" w:cs="Times New Roman"/>
                <w:color w:val="333333"/>
                <w:sz w:val="28"/>
                <w:szCs w:val="28"/>
              </w:rPr>
            </w:pP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A CMOS transmission gate can be constructed by parallel combination of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and </w:t>
            </w:r>
            <w:proofErr w:type="spellStart"/>
            <w:r w:rsidRPr="00353CA3">
              <w:rPr>
                <w:rFonts w:ascii="Times New Roman" w:eastAsia="Times New Roman" w:hAnsi="Times New Roman" w:cs="Times New Roman"/>
                <w:color w:val="333333"/>
                <w:sz w:val="24"/>
                <w:szCs w:val="24"/>
              </w:rPr>
              <w:t>pMOS</w:t>
            </w:r>
            <w:proofErr w:type="spellEnd"/>
            <w:r w:rsidRPr="00353CA3">
              <w:rPr>
                <w:rFonts w:ascii="Times New Roman" w:eastAsia="Times New Roman" w:hAnsi="Times New Roman" w:cs="Times New Roman"/>
                <w:color w:val="333333"/>
                <w:sz w:val="24"/>
                <w:szCs w:val="24"/>
              </w:rPr>
              <w:t xml:space="preserve"> transistors, with complementary gate signals.</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The main advantage of CMOS transmission gate compared to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transmission gate is to allow the input signal to be transmitted to the output without the threshold voltage attenuation.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It allows full rail transition i.e. </w:t>
            </w:r>
            <w:proofErr w:type="spellStart"/>
            <w:r w:rsidRPr="00353CA3">
              <w:rPr>
                <w:rFonts w:ascii="Times New Roman" w:eastAsia="Times New Roman" w:hAnsi="Times New Roman" w:cs="Times New Roman"/>
                <w:color w:val="333333"/>
                <w:sz w:val="24"/>
                <w:szCs w:val="24"/>
              </w:rPr>
              <w:t>ratioless</w:t>
            </w:r>
            <w:proofErr w:type="spellEnd"/>
            <w:r w:rsidRPr="00353CA3">
              <w:rPr>
                <w:rFonts w:ascii="Times New Roman" w:eastAsia="Times New Roman" w:hAnsi="Times New Roman" w:cs="Times New Roman"/>
                <w:color w:val="333333"/>
                <w:sz w:val="24"/>
                <w:szCs w:val="24"/>
              </w:rPr>
              <w:t xml:space="preserve"> logic</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The equivalent resistance is relatively constant during transition.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Some gates are efficient implemented using transmission gate.</w:t>
            </w:r>
          </w:p>
          <w:p w:rsidR="008044E0" w:rsidRPr="00FB3DFB" w:rsidRDefault="008044E0" w:rsidP="00FB3DFB">
            <w:pPr>
              <w:pStyle w:val="Heading1"/>
              <w:shd w:val="clear" w:color="auto" w:fill="FFFFFF"/>
              <w:jc w:val="both"/>
              <w:outlineLvl w:val="0"/>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MOS Field-Effect-Transistors</w:t>
            </w:r>
          </w:p>
          <w:tbl>
            <w:tblPr>
              <w:tblW w:w="10500" w:type="dxa"/>
              <w:tblCellSpacing w:w="0" w:type="dxa"/>
              <w:shd w:val="clear" w:color="auto" w:fill="FFFFFF"/>
              <w:tblCellMar>
                <w:top w:w="15" w:type="dxa"/>
                <w:left w:w="15" w:type="dxa"/>
                <w:bottom w:w="15" w:type="dxa"/>
                <w:right w:w="15" w:type="dxa"/>
              </w:tblCellMar>
              <w:tblLook w:val="04A0"/>
            </w:tblPr>
            <w:tblGrid>
              <w:gridCol w:w="8902"/>
              <w:gridCol w:w="1598"/>
            </w:tblGrid>
            <w:tr w:rsidR="008044E0" w:rsidRPr="00FB3DFB" w:rsidTr="008044E0">
              <w:trPr>
                <w:tblCellSpacing w:w="0" w:type="dxa"/>
              </w:trPr>
              <w:tc>
                <w:tcPr>
                  <w:tcW w:w="10200" w:type="dxa"/>
                  <w:shd w:val="clear" w:color="auto" w:fill="FFFFFF"/>
                  <w:vAlign w:val="center"/>
                  <w:hideMark/>
                </w:tcPr>
                <w:p w:rsidR="008044E0" w:rsidRPr="00FB3DFB" w:rsidRDefault="008044E0"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linear model</w:t>
                  </w:r>
                </w:p>
              </w:tc>
              <w:tc>
                <w:tcPr>
                  <w:tcW w:w="18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905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8044E0" w:rsidRPr="00FB3DFB" w:rsidRDefault="008044E0" w:rsidP="00FB3DFB">
            <w:pPr>
              <w:jc w:val="both"/>
              <w:rPr>
                <w:rFonts w:ascii="Times New Roman" w:hAnsi="Times New Roman" w:cs="Times New Roman"/>
                <w:vanish/>
                <w:sz w:val="28"/>
                <w:szCs w:val="28"/>
              </w:rPr>
            </w:pPr>
          </w:p>
          <w:tbl>
            <w:tblPr>
              <w:tblW w:w="9974" w:type="dxa"/>
              <w:tblCellSpacing w:w="15" w:type="dxa"/>
              <w:shd w:val="clear" w:color="auto" w:fill="FFFFFF"/>
              <w:tblCellMar>
                <w:top w:w="15" w:type="dxa"/>
                <w:left w:w="15" w:type="dxa"/>
                <w:bottom w:w="15" w:type="dxa"/>
                <w:right w:w="15" w:type="dxa"/>
              </w:tblCellMar>
              <w:tblLook w:val="04A0"/>
            </w:tblPr>
            <w:tblGrid>
              <w:gridCol w:w="9974"/>
            </w:tblGrid>
            <w:tr w:rsidR="008044E0" w:rsidRPr="00FE2DCF" w:rsidTr="00FE2DCF">
              <w:trPr>
                <w:trHeight w:val="150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lastRenderedPageBreak/>
                    <w:t>The linear model describes the behavior of a MOSFET biased with a small drain-to-source voltage. As the name suggests, the linear model, describes the MOSFET acting as a linear device. More specifically, it can be modeled as a linear resistor whose resistance is modulated by the gate-to-source voltage. In this regime, the MOSFET can be used as a switch for analog and digital signals or as an analog multiplier.</w:t>
                  </w:r>
                </w:p>
              </w:tc>
            </w:tr>
          </w:tbl>
          <w:p w:rsidR="008044E0" w:rsidRPr="00FE2DCF" w:rsidRDefault="008044E0" w:rsidP="00FE2DCF">
            <w:pPr>
              <w:spacing w:line="360" w:lineRule="auto"/>
              <w:jc w:val="both"/>
              <w:rPr>
                <w:rFonts w:ascii="Times New Roman" w:hAnsi="Times New Roman" w:cs="Times New Roman"/>
                <w:vanish/>
                <w:sz w:val="24"/>
                <w:szCs w:val="24"/>
              </w:rPr>
            </w:pPr>
          </w:p>
          <w:tbl>
            <w:tblPr>
              <w:tblW w:w="9763" w:type="dxa"/>
              <w:tblCellSpacing w:w="15" w:type="dxa"/>
              <w:shd w:val="clear" w:color="auto" w:fill="FFFFFF"/>
              <w:tblCellMar>
                <w:top w:w="15" w:type="dxa"/>
                <w:left w:w="15" w:type="dxa"/>
                <w:bottom w:w="15" w:type="dxa"/>
                <w:right w:w="15" w:type="dxa"/>
              </w:tblCellMar>
              <w:tblLook w:val="04A0"/>
            </w:tblPr>
            <w:tblGrid>
              <w:gridCol w:w="9763"/>
            </w:tblGrid>
            <w:tr w:rsidR="008044E0" w:rsidRPr="00FE2DCF" w:rsidTr="00FE2DCF">
              <w:trPr>
                <w:trHeight w:val="649"/>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The general expression for the drain current equals the total charge in the inversion layer divided by the time the carriers need to flow from the source to the drain:</w:t>
                  </w:r>
                </w:p>
              </w:tc>
            </w:tr>
          </w:tbl>
          <w:p w:rsidR="008044E0" w:rsidRPr="00FB3DFB" w:rsidRDefault="008044E0" w:rsidP="00FB3DFB">
            <w:pPr>
              <w:jc w:val="both"/>
              <w:rPr>
                <w:rFonts w:ascii="Times New Roman" w:hAnsi="Times New Roman" w:cs="Times New Roman"/>
                <w:vanish/>
                <w:sz w:val="28"/>
                <w:szCs w:val="28"/>
              </w:rPr>
            </w:pPr>
          </w:p>
          <w:tbl>
            <w:tblPr>
              <w:tblW w:w="10050" w:type="dxa"/>
              <w:tblCellSpacing w:w="0" w:type="dxa"/>
              <w:shd w:val="clear" w:color="auto" w:fill="FFFFFF"/>
              <w:tblCellMar>
                <w:top w:w="15" w:type="dxa"/>
                <w:left w:w="15" w:type="dxa"/>
                <w:bottom w:w="15" w:type="dxa"/>
                <w:right w:w="15" w:type="dxa"/>
              </w:tblCellMar>
              <w:tblLook w:val="04A0"/>
            </w:tblPr>
            <w:tblGrid>
              <w:gridCol w:w="8614"/>
              <w:gridCol w:w="1436"/>
            </w:tblGrid>
            <w:tr w:rsidR="008044E0" w:rsidRPr="00FB3DFB" w:rsidTr="00FE2DCF">
              <w:trPr>
                <w:trHeight w:val="605"/>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971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428625"/>
                                </a:xfrm>
                                <a:prstGeom prst="rect">
                                  <a:avLst/>
                                </a:prstGeom>
                                <a:noFill/>
                                <a:ln>
                                  <a:noFill/>
                                </a:ln>
                              </pic:spPr>
                            </pic:pic>
                          </a:graphicData>
                        </a:graphic>
                      </wp:inline>
                    </w:drawing>
                  </w:r>
                </w:p>
              </w:tc>
              <w:tc>
                <w:tcPr>
                  <w:tcW w:w="1436"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15" w:type="dxa"/>
              <w:shd w:val="clear" w:color="auto" w:fill="FFFFFF"/>
              <w:tblCellMar>
                <w:top w:w="15" w:type="dxa"/>
                <w:left w:w="15" w:type="dxa"/>
                <w:bottom w:w="15" w:type="dxa"/>
                <w:right w:w="15" w:type="dxa"/>
              </w:tblCellMar>
              <w:tblLook w:val="04A0"/>
            </w:tblPr>
            <w:tblGrid>
              <w:gridCol w:w="10004"/>
            </w:tblGrid>
            <w:tr w:rsidR="008044E0" w:rsidRPr="00FB3DFB" w:rsidTr="00FE2DCF">
              <w:trPr>
                <w:trHeight w:val="660"/>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proofErr w:type="gramStart"/>
                  <w:r w:rsidRPr="00FE2DCF">
                    <w:rPr>
                      <w:color w:val="000000"/>
                    </w:rPr>
                    <w:t>where</w:t>
                  </w:r>
                  <w:proofErr w:type="gramEnd"/>
                  <w:r w:rsidRPr="00FE2DCF">
                    <w:rPr>
                      <w:color w:val="000000"/>
                    </w:rPr>
                    <w:t> </w:t>
                  </w:r>
                  <w:proofErr w:type="spellStart"/>
                  <w:r w:rsidRPr="00FE2DCF">
                    <w:rPr>
                      <w:i/>
                      <w:iCs/>
                      <w:color w:val="000000"/>
                    </w:rPr>
                    <w:t>Q</w:t>
                  </w:r>
                  <w:r w:rsidRPr="00FE2DCF">
                    <w:rPr>
                      <w:color w:val="000000"/>
                      <w:vertAlign w:val="subscript"/>
                    </w:rPr>
                    <w:t>inv</w:t>
                  </w:r>
                  <w:proofErr w:type="spellEnd"/>
                  <w:r w:rsidRPr="00FE2DCF">
                    <w:rPr>
                      <w:color w:val="000000"/>
                    </w:rPr>
                    <w:t> is the inversion layer charge per unit area, </w:t>
                  </w:r>
                  <w:r w:rsidRPr="00FE2DCF">
                    <w:rPr>
                      <w:i/>
                      <w:iCs/>
                      <w:color w:val="000000"/>
                    </w:rPr>
                    <w:t>W</w:t>
                  </w:r>
                  <w:r w:rsidRPr="00FE2DCF">
                    <w:rPr>
                      <w:color w:val="000000"/>
                    </w:rPr>
                    <w:t> is the gate width, </w:t>
                  </w:r>
                  <w:r w:rsidRPr="00FE2DCF">
                    <w:rPr>
                      <w:i/>
                      <w:iCs/>
                      <w:color w:val="000000"/>
                    </w:rPr>
                    <w:t>L</w:t>
                  </w:r>
                  <w:r w:rsidRPr="00FE2DCF">
                    <w:rPr>
                      <w:color w:val="000000"/>
                    </w:rPr>
                    <w:t> is the gate length and </w:t>
                  </w:r>
                  <w:r w:rsidRPr="00FE2DCF">
                    <w:rPr>
                      <w:i/>
                      <w:iCs/>
                      <w:color w:val="000000"/>
                    </w:rPr>
                    <w:t>t</w:t>
                  </w:r>
                  <w:r w:rsidRPr="00FE2DCF">
                    <w:rPr>
                      <w:color w:val="000000"/>
                      <w:vertAlign w:val="subscript"/>
                    </w:rPr>
                    <w:t>r</w:t>
                  </w:r>
                  <w:r w:rsidRPr="00FE2DCF">
                    <w:rPr>
                      <w:color w:val="000000"/>
                    </w:rPr>
                    <w:t> is the transit time. If the velocity of the carriers is constant between source and drain, the transit time equals:</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4572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E2DCF" w:rsidRDefault="008044E0" w:rsidP="00FB3DFB">
                  <w:pPr>
                    <w:pStyle w:val="NormalWeb"/>
                    <w:jc w:val="both"/>
                    <w:rPr>
                      <w:color w:val="000000"/>
                    </w:rPr>
                  </w:pPr>
                  <w:r w:rsidRPr="00FE2DCF">
                    <w:rPr>
                      <w:color w:val="000000"/>
                    </w:rPr>
                    <w:t>where the velocity, </w:t>
                  </w:r>
                  <w:r w:rsidRPr="00FE2DCF">
                    <w:rPr>
                      <w:i/>
                      <w:iCs/>
                      <w:color w:val="000000"/>
                    </w:rPr>
                    <w:t>v</w:t>
                  </w:r>
                  <w:r w:rsidRPr="00FE2DCF">
                    <w:rPr>
                      <w:color w:val="000000"/>
                    </w:rPr>
                    <w:t>, equals the product of the mobility and the electric field:</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0382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8225"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tblPr>
            <w:tblGrid>
              <w:gridCol w:w="10124"/>
            </w:tblGrid>
            <w:tr w:rsidR="008044E0" w:rsidRPr="00FB3DFB" w:rsidTr="00FE2DCF">
              <w:trPr>
                <w:trHeight w:val="1522"/>
                <w:tblCellSpacing w:w="15" w:type="dxa"/>
              </w:trPr>
              <w:tc>
                <w:tcPr>
                  <w:tcW w:w="0" w:type="auto"/>
                  <w:shd w:val="clear" w:color="auto" w:fill="FFFFFF"/>
                  <w:hideMark/>
                </w:tcPr>
                <w:p w:rsidR="008044E0" w:rsidRPr="00FE2DCF" w:rsidRDefault="00FE2DCF" w:rsidP="00FE2DCF">
                  <w:pPr>
                    <w:pStyle w:val="NormalWeb"/>
                    <w:spacing w:line="360" w:lineRule="auto"/>
                    <w:jc w:val="both"/>
                    <w:rPr>
                      <w:color w:val="000000"/>
                    </w:rPr>
                  </w:pPr>
                  <w:r w:rsidRPr="00FE2DCF">
                    <w:rPr>
                      <w:color w:val="000000"/>
                    </w:rPr>
                    <w:t>N</w:t>
                  </w:r>
                  <w:r w:rsidR="008044E0" w:rsidRPr="00FE2DCF">
                    <w:rPr>
                      <w:color w:val="000000"/>
                    </w:rPr>
                    <w:t>ow assume that the charge density in the inversion layer is constant between source and drain. We also assume that the basic assumption described in sectio</w:t>
                  </w:r>
                  <w:r w:rsidR="00895F46">
                    <w:rPr>
                      <w:color w:val="000000"/>
                    </w:rPr>
                    <w:t>n</w:t>
                  </w:r>
                  <w:r w:rsidR="008044E0" w:rsidRPr="00FE2DCF">
                    <w:rPr>
                      <w:color w:val="000000"/>
                    </w:rPr>
                    <w:t> applies, namely that the charge density in the inversion layer equals minus the product of the capacitance per unit area and the gate-to-source voltage minus the threshold voltage:</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238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375" cy="228600"/>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FE2DCF" w:rsidRDefault="008044E0" w:rsidP="00FE2DCF">
                  <w:pPr>
                    <w:pStyle w:val="NormalWeb"/>
                    <w:spacing w:line="360" w:lineRule="auto"/>
                    <w:jc w:val="both"/>
                    <w:rPr>
                      <w:color w:val="000000"/>
                    </w:rPr>
                  </w:pPr>
                  <w:r w:rsidRPr="00FE2DCF">
                    <w:rPr>
                      <w:color w:val="000000"/>
                    </w:rPr>
                    <w:t>The inversion layer charge is zero if the gate voltage is lower than the threshold voltage. Replacing</w:t>
                  </w:r>
                  <w:r w:rsidR="00FE2DCF">
                    <w:rPr>
                      <w:color w:val="000000"/>
                    </w:rPr>
                    <w:t xml:space="preserve"> </w:t>
                  </w:r>
                </w:p>
                <w:p w:rsidR="008044E0" w:rsidRPr="00FE2DCF" w:rsidRDefault="008044E0" w:rsidP="00FE2DCF">
                  <w:pPr>
                    <w:pStyle w:val="NormalWeb"/>
                    <w:spacing w:line="360" w:lineRule="auto"/>
                    <w:jc w:val="both"/>
                    <w:rPr>
                      <w:color w:val="000000"/>
                    </w:rPr>
                  </w:pPr>
                  <w:r w:rsidRPr="00FE2DCF">
                    <w:rPr>
                      <w:color w:val="000000"/>
                    </w:rPr>
                    <w:t xml:space="preserve"> the inversion layer charge density in the expression for the drain current yields the linear model:</w:t>
                  </w: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0" w:type="dxa"/>
              <w:shd w:val="clear" w:color="auto" w:fill="FFFFFF"/>
              <w:tblCellMar>
                <w:top w:w="15" w:type="dxa"/>
                <w:left w:w="15" w:type="dxa"/>
                <w:bottom w:w="15" w:type="dxa"/>
                <w:right w:w="15" w:type="dxa"/>
              </w:tblCellMar>
              <w:tblLook w:val="04A0"/>
            </w:tblPr>
            <w:tblGrid>
              <w:gridCol w:w="8575"/>
              <w:gridCol w:w="1429"/>
            </w:tblGrid>
            <w:tr w:rsidR="008044E0" w:rsidRPr="00FB3DFB" w:rsidTr="00FE2DCF">
              <w:trPr>
                <w:trHeight w:val="574"/>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238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390525"/>
                                </a:xfrm>
                                <a:prstGeom prst="rect">
                                  <a:avLst/>
                                </a:prstGeom>
                                <a:noFill/>
                                <a:ln>
                                  <a:noFill/>
                                </a:ln>
                              </pic:spPr>
                            </pic:pic>
                          </a:graphicData>
                        </a:graphic>
                      </wp:inline>
                    </w:drawing>
                  </w:r>
                </w:p>
              </w:tc>
              <w:tc>
                <w:tcPr>
                  <w:tcW w:w="1429"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(7.3.6)</w:t>
                  </w:r>
                </w:p>
              </w:tc>
            </w:tr>
          </w:tbl>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tblPr>
            <w:tblGrid>
              <w:gridCol w:w="10124"/>
            </w:tblGrid>
            <w:tr w:rsidR="008044E0" w:rsidRPr="00FB3DFB" w:rsidTr="00895F46">
              <w:trPr>
                <w:trHeight w:val="202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lastRenderedPageBreak/>
                    <w:t>Note that the capacitance in the above equations is the gate oxide capacitance per unit area. Also note that the drain current is zero if the gate-to-source voltage is less than the threshold voltage. The linear model is only valid if the drain-to-source voltage is much smaller than the gate-to-source voltage minus the threshold voltage. This insures that the velocity, the electric field and the inversion layer charge density is indeed constant between the source and the drain.</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8834"/>
              <w:gridCol w:w="1666"/>
            </w:tblGrid>
            <w:tr w:rsidR="008044E0" w:rsidRPr="00FB3DFB" w:rsidTr="008044E0">
              <w:trPr>
                <w:tblCellSpacing w:w="15" w:type="dxa"/>
              </w:trPr>
              <w:tc>
                <w:tcPr>
                  <w:tcW w:w="0" w:type="auto"/>
                  <w:gridSpan w:val="2"/>
                  <w:shd w:val="clear" w:color="auto" w:fill="FFFFFF"/>
                  <w:hideMark/>
                </w:tcPr>
                <w:p w:rsidR="008044E0" w:rsidRPr="00FB3DFB" w:rsidRDefault="008044E0" w:rsidP="00FE2DCF">
                  <w:pPr>
                    <w:pStyle w:val="NormalWeb"/>
                    <w:jc w:val="both"/>
                    <w:rPr>
                      <w:color w:val="000000"/>
                      <w:sz w:val="28"/>
                      <w:szCs w:val="28"/>
                    </w:rPr>
                  </w:pPr>
                </w:p>
              </w:tc>
            </w:tr>
            <w:tr w:rsidR="00FB3DFB" w:rsidRPr="00FB3DFB" w:rsidTr="00FB3DFB">
              <w:tblPrEx>
                <w:tblCellSpacing w:w="0" w:type="dxa"/>
              </w:tblPrEx>
              <w:trPr>
                <w:tblCellSpacing w:w="0" w:type="dxa"/>
              </w:trPr>
              <w:tc>
                <w:tcPr>
                  <w:tcW w:w="8866" w:type="dxa"/>
                  <w:shd w:val="clear" w:color="auto" w:fill="FFFFFF"/>
                  <w:vAlign w:val="center"/>
                  <w:hideMark/>
                </w:tcPr>
                <w:p w:rsidR="00FB3DFB" w:rsidRPr="00FB3DFB" w:rsidRDefault="00FB3DFB"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quadratic model</w:t>
                  </w:r>
                </w:p>
              </w:tc>
              <w:tc>
                <w:tcPr>
                  <w:tcW w:w="1634"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905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E2DCF" w:rsidTr="00FB3DFB">
              <w:trPr>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quadratic model uses the same assumptions as the linear model. However, this model allows the inversion layer charge to vary between the source and the drain.</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974" w:type="dxa"/>
              <w:tblCellSpacing w:w="15" w:type="dxa"/>
              <w:shd w:val="clear" w:color="auto" w:fill="FFFFFF"/>
              <w:tblCellMar>
                <w:top w:w="15" w:type="dxa"/>
                <w:left w:w="15" w:type="dxa"/>
                <w:bottom w:w="15" w:type="dxa"/>
                <w:right w:w="15" w:type="dxa"/>
              </w:tblCellMar>
              <w:tblLook w:val="04A0"/>
            </w:tblPr>
            <w:tblGrid>
              <w:gridCol w:w="9974"/>
            </w:tblGrid>
            <w:tr w:rsidR="00FB3DFB" w:rsidRPr="00FE2DCF" w:rsidTr="00C55A33">
              <w:trPr>
                <w:trHeight w:val="756"/>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derivation is based on the fact that the current is continuous throughout the channel. The current is also related to the local channel voltage, &gt;I&gt;V</w:t>
                  </w:r>
                  <w:r w:rsidRPr="00FE2DCF">
                    <w:rPr>
                      <w:color w:val="000000"/>
                      <w:vertAlign w:val="subscript"/>
                    </w:rPr>
                    <w:t>C</w:t>
                  </w:r>
                  <w:r w:rsidRPr="00FE2DCF">
                    <w:rPr>
                      <w:color w:val="000000"/>
                    </w:rPr>
                    <w:t>.</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853" w:type="dxa"/>
              <w:tblCellSpacing w:w="15" w:type="dxa"/>
              <w:shd w:val="clear" w:color="auto" w:fill="FFFFFF"/>
              <w:tblCellMar>
                <w:top w:w="15" w:type="dxa"/>
                <w:left w:w="15" w:type="dxa"/>
                <w:bottom w:w="15" w:type="dxa"/>
                <w:right w:w="15" w:type="dxa"/>
              </w:tblCellMar>
              <w:tblLook w:val="04A0"/>
            </w:tblPr>
            <w:tblGrid>
              <w:gridCol w:w="9853"/>
            </w:tblGrid>
            <w:tr w:rsidR="00FB3DFB" w:rsidRPr="00FE2DCF" w:rsidTr="00C55A33">
              <w:trPr>
                <w:trHeight w:val="66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We now consider a small section within the device with width </w:t>
                  </w:r>
                  <w:proofErr w:type="spellStart"/>
                  <w:r w:rsidRPr="00FE2DCF">
                    <w:rPr>
                      <w:iCs/>
                      <w:color w:val="000000"/>
                    </w:rPr>
                    <w:t>dy</w:t>
                  </w:r>
                  <w:proofErr w:type="spellEnd"/>
                  <w:r w:rsidRPr="00FE2DCF">
                    <w:rPr>
                      <w:iCs/>
                      <w:color w:val="000000"/>
                    </w:rPr>
                    <w:t>&gt;/I&gt; and channel voltage V</w:t>
                  </w:r>
                  <w:r w:rsidRPr="00FE2DCF">
                    <w:rPr>
                      <w:iCs/>
                      <w:color w:val="000000"/>
                      <w:vertAlign w:val="subscript"/>
                    </w:rPr>
                    <w:t>C</w:t>
                  </w:r>
                  <w:r w:rsidRPr="00FE2DCF">
                    <w:rPr>
                      <w:iCs/>
                      <w:color w:val="000000"/>
                    </w:rPr>
                    <w:t> + V</w:t>
                  </w:r>
                  <w:r w:rsidRPr="00FE2DCF">
                    <w:rPr>
                      <w:iCs/>
                      <w:color w:val="000000"/>
                      <w:vertAlign w:val="subscript"/>
                    </w:rPr>
                    <w:t>S</w:t>
                  </w:r>
                  <w:r w:rsidRPr="00FE2DCF">
                    <w:rPr>
                      <w:iCs/>
                      <w:color w:val="000000"/>
                    </w:rPr>
                    <w:t>. The linear model as described by equation, still applies to such section, yielding:</w:t>
                  </w:r>
                </w:p>
              </w:tc>
            </w:tr>
          </w:tbl>
          <w:p w:rsidR="00FB3DFB" w:rsidRPr="00FB3DFB" w:rsidRDefault="00FB3DFB" w:rsidP="00FB3DFB">
            <w:pPr>
              <w:jc w:val="both"/>
              <w:rPr>
                <w:rFonts w:ascii="Times New Roman" w:hAnsi="Times New Roman" w:cs="Times New Roman"/>
                <w:vanish/>
                <w:sz w:val="28"/>
                <w:szCs w:val="28"/>
              </w:rPr>
            </w:pPr>
          </w:p>
          <w:tbl>
            <w:tblPr>
              <w:tblW w:w="9854" w:type="dxa"/>
              <w:tblCellSpacing w:w="0" w:type="dxa"/>
              <w:shd w:val="clear" w:color="auto" w:fill="FFFFFF"/>
              <w:tblCellMar>
                <w:top w:w="15" w:type="dxa"/>
                <w:left w:w="15" w:type="dxa"/>
                <w:bottom w:w="15" w:type="dxa"/>
                <w:right w:w="15" w:type="dxa"/>
              </w:tblCellMar>
              <w:tblLook w:val="04A0"/>
            </w:tblPr>
            <w:tblGrid>
              <w:gridCol w:w="8446"/>
              <w:gridCol w:w="1408"/>
            </w:tblGrid>
            <w:tr w:rsidR="00FB3DFB" w:rsidRPr="00FB3DFB" w:rsidTr="00C55A33">
              <w:trPr>
                <w:trHeight w:val="708"/>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428625"/>
                                </a:xfrm>
                                <a:prstGeom prst="rect">
                                  <a:avLst/>
                                </a:prstGeom>
                                <a:noFill/>
                                <a:ln>
                                  <a:noFill/>
                                </a:ln>
                              </pic:spPr>
                            </pic:pic>
                          </a:graphicData>
                        </a:graphic>
                      </wp:inline>
                    </w:drawing>
                  </w:r>
                </w:p>
              </w:tc>
              <w:tc>
                <w:tcPr>
                  <w:tcW w:w="1408"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9718" w:type="dxa"/>
              <w:tblCellSpacing w:w="15" w:type="dxa"/>
              <w:shd w:val="clear" w:color="auto" w:fill="FFFFFF"/>
              <w:tblCellMar>
                <w:top w:w="15" w:type="dxa"/>
                <w:left w:w="15" w:type="dxa"/>
                <w:bottom w:w="15" w:type="dxa"/>
                <w:right w:w="15" w:type="dxa"/>
              </w:tblCellMar>
              <w:tblLook w:val="04A0"/>
            </w:tblPr>
            <w:tblGrid>
              <w:gridCol w:w="9718"/>
            </w:tblGrid>
            <w:tr w:rsidR="00FB3DFB" w:rsidRPr="00FB3DFB" w:rsidTr="00C55A33">
              <w:trPr>
                <w:trHeight w:val="1089"/>
                <w:tblCellSpacing w:w="15" w:type="dxa"/>
              </w:trPr>
              <w:tc>
                <w:tcPr>
                  <w:tcW w:w="0" w:type="auto"/>
                  <w:shd w:val="clear" w:color="auto" w:fill="FFFFFF"/>
                  <w:hideMark/>
                </w:tcPr>
                <w:p w:rsidR="00FB3DFB" w:rsidRPr="00FE2DCF" w:rsidRDefault="00FE2DCF" w:rsidP="00FE2DCF">
                  <w:pPr>
                    <w:pStyle w:val="NormalWeb"/>
                    <w:spacing w:line="360" w:lineRule="auto"/>
                    <w:jc w:val="both"/>
                    <w:rPr>
                      <w:color w:val="000000"/>
                    </w:rPr>
                  </w:pPr>
                  <w:r w:rsidRPr="00FE2DCF">
                    <w:rPr>
                      <w:color w:val="000000"/>
                    </w:rPr>
                    <w:t>T</w:t>
                  </w:r>
                  <w:r w:rsidR="00FB3DFB" w:rsidRPr="00FE2DCF">
                    <w:rPr>
                      <w:color w:val="000000"/>
                    </w:rPr>
                    <w:t>he drain-source voltage is replaced by the channel voltage. Both sides of the equation can be integrated from the source to the drain, so that </w:t>
                  </w:r>
                  <w:r w:rsidR="00FB3DFB" w:rsidRPr="00FE2DCF">
                    <w:rPr>
                      <w:i/>
                      <w:iCs/>
                      <w:color w:val="000000"/>
                    </w:rPr>
                    <w:t>y</w:t>
                  </w:r>
                  <w:r w:rsidR="00FB3DFB" w:rsidRPr="00FE2DCF">
                    <w:rPr>
                      <w:color w:val="000000"/>
                    </w:rPr>
                    <w:t> varies from 0 to the gate length, </w:t>
                  </w:r>
                  <w:r w:rsidR="00FB3DFB" w:rsidRPr="00FE2DCF">
                    <w:rPr>
                      <w:i/>
                      <w:iCs/>
                      <w:color w:val="000000"/>
                    </w:rPr>
                    <w:t>L</w:t>
                  </w:r>
                  <w:r w:rsidR="00FB3DFB" w:rsidRPr="00FE2DCF">
                    <w:rPr>
                      <w:color w:val="000000"/>
                    </w:rPr>
                    <w:t>, and the channel voltage </w:t>
                  </w:r>
                  <w:r w:rsidR="00FB3DFB" w:rsidRPr="00FE2DCF">
                    <w:rPr>
                      <w:i/>
                      <w:iCs/>
                      <w:color w:val="000000"/>
                    </w:rPr>
                    <w:t>V</w:t>
                  </w:r>
                  <w:r w:rsidR="00FB3DFB" w:rsidRPr="00FE2DCF">
                    <w:rPr>
                      <w:i/>
                      <w:iCs/>
                      <w:color w:val="000000"/>
                      <w:vertAlign w:val="subscript"/>
                    </w:rPr>
                    <w:t>C</w:t>
                  </w:r>
                  <w:r w:rsidR="00FB3DFB" w:rsidRPr="00FE2DCF">
                    <w:rPr>
                      <w:color w:val="000000"/>
                    </w:rPr>
                    <w:t> varies from 0 to the drain-source voltage, </w:t>
                  </w:r>
                  <w:r w:rsidR="00FB3DFB" w:rsidRPr="00FE2DCF">
                    <w:rPr>
                      <w:i/>
                      <w:iCs/>
                      <w:color w:val="000000"/>
                    </w:rPr>
                    <w:t>V</w:t>
                  </w:r>
                  <w:r w:rsidR="00FB3DFB" w:rsidRPr="00FE2DCF">
                    <w:rPr>
                      <w:color w:val="000000"/>
                      <w:vertAlign w:val="subscript"/>
                    </w:rPr>
                    <w:t>DS</w:t>
                  </w:r>
                  <w:r w:rsidR="00FB3DFB" w:rsidRPr="00FE2DCF">
                    <w:rPr>
                      <w:color w:val="000000"/>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686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43815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E2DCF" w:rsidRDefault="00FB3DFB" w:rsidP="00FB3DFB">
                  <w:pPr>
                    <w:pStyle w:val="NormalWeb"/>
                    <w:jc w:val="both"/>
                    <w:rPr>
                      <w:color w:val="000000"/>
                    </w:rPr>
                  </w:pPr>
                  <w:r w:rsidRPr="00FE2DCF">
                    <w:rPr>
                      <w:color w:val="000000"/>
                    </w:rPr>
                    <w:t>The drain current, </w:t>
                  </w:r>
                  <w:r w:rsidRPr="00FE2DCF">
                    <w:rPr>
                      <w:i/>
                      <w:iCs/>
                      <w:color w:val="000000"/>
                    </w:rPr>
                    <w:t>I</w:t>
                  </w:r>
                  <w:r w:rsidRPr="00FE2DCF">
                    <w:rPr>
                      <w:i/>
                      <w:iCs/>
                      <w:color w:val="000000"/>
                      <w:vertAlign w:val="subscript"/>
                    </w:rPr>
                    <w:t>D</w:t>
                  </w:r>
                  <w:r w:rsidRPr="00FE2DCF">
                    <w:rPr>
                      <w:color w:val="000000"/>
                    </w:rPr>
                    <w:t>, is constant so that integration results in: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667125" cy="45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7125" cy="45720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064" w:type="dxa"/>
              <w:tblCellSpacing w:w="15" w:type="dxa"/>
              <w:shd w:val="clear" w:color="auto" w:fill="FFFFFF"/>
              <w:tblCellMar>
                <w:top w:w="15" w:type="dxa"/>
                <w:left w:w="15" w:type="dxa"/>
                <w:bottom w:w="15" w:type="dxa"/>
                <w:right w:w="15" w:type="dxa"/>
              </w:tblCellMar>
              <w:tblLook w:val="04A0"/>
            </w:tblPr>
            <w:tblGrid>
              <w:gridCol w:w="10064"/>
            </w:tblGrid>
            <w:tr w:rsidR="00FB3DFB" w:rsidRPr="00FE2DCF" w:rsidTr="00C55A33">
              <w:trPr>
                <w:trHeight w:val="235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 xml:space="preserve">The drain current first increases linearly with the applied drain-to-source voltage, but then reaches a maximum value. According to the above equation the current would even decrease and eventually become negative. The charge density at the drain end of the channel is zero at that maximum and changes sign as the drain current decreases. As, the charge in the inversion layer does go to zero and reverses its sign as holes are accumulated at the interface. However, these holes cannot contribute to the drain current since the reversed-biased p-n diode between the drain and the substrate blocks any flow of holes into the drain. Instead the current reaches its maximum value and maintains that value for higher drain-to-source voltages. A depletion layer located at the drain end of the gate accommodates </w:t>
                  </w:r>
                  <w:r w:rsidRPr="00FE2DCF">
                    <w:rPr>
                      <w:color w:val="000000"/>
                    </w:rPr>
                    <w:lastRenderedPageBreak/>
                    <w:t>the additional drain-to-source voltage. This behavior is referred to as </w:t>
                  </w:r>
                  <w:r w:rsidRPr="00FE2DCF">
                    <w:rPr>
                      <w:iCs/>
                      <w:color w:val="000000"/>
                    </w:rPr>
                    <w:t>drain current saturation</w:t>
                  </w:r>
                  <w:r w:rsidRPr="00FE2DCF">
                    <w:rPr>
                      <w:color w:val="000000"/>
                    </w:rPr>
                    <w:t>.</w:t>
                  </w:r>
                </w:p>
              </w:tc>
            </w:tr>
          </w:tbl>
          <w:p w:rsidR="00FB3DFB" w:rsidRPr="00FE2DCF" w:rsidRDefault="00FB3DFB" w:rsidP="00FE2DCF">
            <w:pPr>
              <w:spacing w:line="360" w:lineRule="auto"/>
              <w:rPr>
                <w:rFonts w:ascii="Times New Roman" w:hAnsi="Times New Roman" w:cs="Times New Roman"/>
                <w:vanish/>
                <w:sz w:val="24"/>
                <w:szCs w:val="24"/>
              </w:rPr>
            </w:pPr>
          </w:p>
          <w:tbl>
            <w:tblPr>
              <w:tblW w:w="10094" w:type="dxa"/>
              <w:tblCellSpacing w:w="15" w:type="dxa"/>
              <w:shd w:val="clear" w:color="auto" w:fill="FFFFFF"/>
              <w:tblCellMar>
                <w:top w:w="15" w:type="dxa"/>
                <w:left w:w="15" w:type="dxa"/>
                <w:bottom w:w="15" w:type="dxa"/>
                <w:right w:w="15" w:type="dxa"/>
              </w:tblCellMar>
              <w:tblLook w:val="04A0"/>
            </w:tblPr>
            <w:tblGrid>
              <w:gridCol w:w="10094"/>
            </w:tblGrid>
            <w:tr w:rsidR="00FB3DFB" w:rsidRPr="00FE2DCF" w:rsidTr="00C55A33">
              <w:trPr>
                <w:trHeight w:val="1160"/>
                <w:tblCellSpacing w:w="15" w:type="dxa"/>
              </w:trPr>
              <w:tc>
                <w:tcPr>
                  <w:tcW w:w="0" w:type="auto"/>
                  <w:shd w:val="clear" w:color="auto" w:fill="FFFFFF"/>
                  <w:hideMark/>
                </w:tcPr>
                <w:p w:rsidR="00FB3DFB" w:rsidRPr="00FE2DCF" w:rsidRDefault="00FB3DFB" w:rsidP="00FE2DCF">
                  <w:pPr>
                    <w:pStyle w:val="NormalWeb"/>
                    <w:spacing w:line="360" w:lineRule="auto"/>
                    <w:rPr>
                      <w:color w:val="000000"/>
                    </w:rPr>
                  </w:pPr>
                  <w:r w:rsidRPr="00FE2DCF">
                    <w:rPr>
                      <w:color w:val="000000"/>
                    </w:rPr>
                    <w:t>Drain current saturation therefore occurs when the drain-to-source voltage equals the gate-to-source voltage minus the threshold voltage. The value of the saturated drain current, </w:t>
                  </w:r>
                  <w:proofErr w:type="spellStart"/>
                  <w:r w:rsidRPr="00FE2DCF">
                    <w:rPr>
                      <w:i/>
                      <w:iCs/>
                      <w:color w:val="000000"/>
                    </w:rPr>
                    <w:t>I</w:t>
                  </w:r>
                  <w:r w:rsidRPr="00FE2DCF">
                    <w:rPr>
                      <w:i/>
                      <w:iCs/>
                      <w:color w:val="000000"/>
                      <w:vertAlign w:val="subscript"/>
                    </w:rPr>
                    <w:t>D</w:t>
                  </w:r>
                  <w:proofErr w:type="gramStart"/>
                  <w:r w:rsidRPr="00FE2DCF">
                    <w:rPr>
                      <w:i/>
                      <w:iCs/>
                      <w:color w:val="000000"/>
                      <w:vertAlign w:val="subscript"/>
                    </w:rPr>
                    <w:t>,sat</w:t>
                  </w:r>
                  <w:proofErr w:type="spellEnd"/>
                  <w:proofErr w:type="gramEnd"/>
                  <w:r w:rsidRPr="00FE2DCF">
                    <w:rPr>
                      <w:color w:val="000000"/>
                    </w:rPr>
                    <w:t>. is then given by the following equation: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2099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9925" cy="428625"/>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(7.3.10)</w:t>
                  </w:r>
                </w:p>
              </w:tc>
            </w:tr>
          </w:tbl>
          <w:p w:rsidR="00FB3DFB" w:rsidRPr="00FB3DFB" w:rsidRDefault="00FB3DFB" w:rsidP="00FB3DFB">
            <w:pPr>
              <w:jc w:val="both"/>
              <w:rPr>
                <w:rFonts w:ascii="Times New Roman" w:hAnsi="Times New Roman" w:cs="Times New Roman"/>
                <w:vanish/>
                <w:sz w:val="28"/>
                <w:szCs w:val="28"/>
              </w:rPr>
            </w:pPr>
          </w:p>
          <w:tbl>
            <w:tblPr>
              <w:tblW w:w="10034" w:type="dxa"/>
              <w:tblCellSpacing w:w="15" w:type="dxa"/>
              <w:shd w:val="clear" w:color="auto" w:fill="FFFFFF"/>
              <w:tblCellMar>
                <w:top w:w="15" w:type="dxa"/>
                <w:left w:w="15" w:type="dxa"/>
                <w:bottom w:w="15" w:type="dxa"/>
                <w:right w:w="15" w:type="dxa"/>
              </w:tblCellMar>
              <w:tblLook w:val="04A0"/>
            </w:tblPr>
            <w:tblGrid>
              <w:gridCol w:w="10034"/>
            </w:tblGrid>
            <w:tr w:rsidR="00FB3DFB" w:rsidRPr="00FB3DFB" w:rsidTr="00895F46">
              <w:trPr>
                <w:trHeight w:val="1188"/>
                <w:tblCellSpacing w:w="15" w:type="dxa"/>
              </w:trPr>
              <w:tc>
                <w:tcPr>
                  <w:tcW w:w="0" w:type="auto"/>
                  <w:shd w:val="clear" w:color="auto" w:fill="FFFFFF"/>
                  <w:hideMark/>
                </w:tcPr>
                <w:p w:rsidR="00FB3DFB" w:rsidRPr="00895F46" w:rsidRDefault="00FB3DFB" w:rsidP="00895F46">
                  <w:pPr>
                    <w:pStyle w:val="NormalWeb"/>
                    <w:spacing w:line="360" w:lineRule="auto"/>
                    <w:jc w:val="both"/>
                    <w:rPr>
                      <w:color w:val="000000"/>
                    </w:rPr>
                  </w:pPr>
                  <w:r w:rsidRPr="00895F46">
                    <w:rPr>
                      <w:color w:val="000000"/>
                    </w:rPr>
                    <w:t>The quadratic model explains the typical current-voltage characteristics of a MOSFET, which are normally plotted for different gate-to-source voltages. An example is shown in Figure. The saturation occurs to the right of the dotted line which is given by </w:t>
                  </w:r>
                  <w:r w:rsidRPr="00895F46">
                    <w:rPr>
                      <w:i/>
                      <w:iCs/>
                      <w:color w:val="000000"/>
                    </w:rPr>
                    <w:t>I</w:t>
                  </w:r>
                  <w:r w:rsidRPr="00895F46">
                    <w:rPr>
                      <w:color w:val="000000"/>
                      <w:vertAlign w:val="subscript"/>
                    </w:rPr>
                    <w:t>D</w:t>
                  </w:r>
                  <w:r w:rsidRPr="00895F46">
                    <w:rPr>
                      <w:color w:val="000000"/>
                    </w:rPr>
                    <w:t> = m </w:t>
                  </w:r>
                  <w:r w:rsidRPr="00895F46">
                    <w:rPr>
                      <w:i/>
                      <w:iCs/>
                      <w:color w:val="000000"/>
                    </w:rPr>
                    <w:t>C</w:t>
                  </w:r>
                  <w:r w:rsidRPr="00895F46">
                    <w:rPr>
                      <w:color w:val="000000"/>
                      <w:vertAlign w:val="subscript"/>
                    </w:rPr>
                    <w:t>ox</w:t>
                  </w:r>
                  <w:r w:rsidRPr="00895F46">
                    <w:rPr>
                      <w:color w:val="000000"/>
                    </w:rPr>
                    <w:t> </w:t>
                  </w:r>
                  <w:r w:rsidRPr="00895F46">
                    <w:rPr>
                      <w:i/>
                      <w:iCs/>
                      <w:color w:val="000000"/>
                    </w:rPr>
                    <w:t>W</w:t>
                  </w:r>
                  <w:r w:rsidRPr="00895F46">
                    <w:rPr>
                      <w:color w:val="000000"/>
                    </w:rPr>
                    <w:t>/</w:t>
                  </w:r>
                  <w:r w:rsidRPr="00895F46">
                    <w:rPr>
                      <w:i/>
                      <w:iCs/>
                      <w:color w:val="000000"/>
                    </w:rPr>
                    <w:t>L</w:t>
                  </w:r>
                  <w:r w:rsidRPr="00895F46">
                    <w:rPr>
                      <w:color w:val="000000"/>
                    </w:rPr>
                    <w:t> </w:t>
                  </w:r>
                  <w:r w:rsidRPr="00895F46">
                    <w:rPr>
                      <w:i/>
                      <w:iCs/>
                      <w:color w:val="000000"/>
                    </w:rPr>
                    <w:t>V</w:t>
                  </w:r>
                  <w:r w:rsidRPr="00895F46">
                    <w:rPr>
                      <w:color w:val="000000"/>
                      <w:vertAlign w:val="subscript"/>
                    </w:rPr>
                    <w:t>DS</w:t>
                  </w:r>
                  <w:r w:rsidRPr="00895F46">
                    <w:rPr>
                      <w:color w:val="000000"/>
                      <w:vertAlign w:val="superscript"/>
                    </w:rPr>
                    <w:t>2</w:t>
                  </w:r>
                  <w:r w:rsidRPr="00895F46">
                    <w:rPr>
                      <w:color w:val="000000"/>
                    </w:rPr>
                    <w:t>.</w:t>
                  </w:r>
                </w:p>
              </w:tc>
            </w:tr>
          </w:tbl>
          <w:p w:rsidR="00FB3DFB" w:rsidRDefault="00FB3DFB" w:rsidP="00FB3DFB">
            <w:pPr>
              <w:rPr>
                <w:vanish/>
              </w:rPr>
            </w:pPr>
            <w:bookmarkStart w:id="0" w:name="fig7_3_2"/>
            <w:bookmarkEnd w:id="0"/>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Tr="00FB3DFB">
              <w:trPr>
                <w:tblCellSpacing w:w="15" w:type="dxa"/>
              </w:trPr>
              <w:tc>
                <w:tcPr>
                  <w:tcW w:w="0" w:type="auto"/>
                  <w:shd w:val="clear" w:color="auto" w:fill="FFFFFF"/>
                  <w:vAlign w:val="center"/>
                  <w:hideMark/>
                </w:tcPr>
                <w:p w:rsidR="00FB3DFB" w:rsidRDefault="00FB3DFB" w:rsidP="00FB3DFB">
                  <w:pPr>
                    <w:jc w:val="center"/>
                    <w:rPr>
                      <w:rFonts w:ascii="Arial" w:hAnsi="Arial" w:cs="Arial"/>
                      <w:color w:val="000000"/>
                      <w:sz w:val="21"/>
                      <w:szCs w:val="21"/>
                    </w:rPr>
                  </w:pPr>
                  <w:r>
                    <w:rPr>
                      <w:rFonts w:ascii="Arial" w:hAnsi="Arial" w:cs="Arial"/>
                      <w:noProof/>
                      <w:color w:val="FF0000"/>
                      <w:sz w:val="21"/>
                      <w:szCs w:val="21"/>
                    </w:rPr>
                    <w:drawing>
                      <wp:inline distT="0" distB="0" distL="0" distR="0">
                        <wp:extent cx="3076575" cy="2867025"/>
                        <wp:effectExtent l="0" t="0" r="0" b="0"/>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9"/>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575" cy="2867025"/>
                                </a:xfrm>
                                <a:prstGeom prst="rect">
                                  <a:avLst/>
                                </a:prstGeom>
                                <a:noFill/>
                                <a:ln>
                                  <a:noFill/>
                                </a:ln>
                              </pic:spPr>
                            </pic:pic>
                          </a:graphicData>
                        </a:graphic>
                      </wp:inline>
                    </w:drawing>
                  </w:r>
                </w:p>
              </w:tc>
            </w:tr>
          </w:tbl>
          <w:p w:rsidR="00F529F8" w:rsidRDefault="00FB3DFB" w:rsidP="00167C95">
            <w:pPr>
              <w:shd w:val="clear" w:color="auto" w:fill="FFFFFF"/>
              <w:ind w:left="720"/>
              <w:jc w:val="both"/>
              <w:rPr>
                <w:rFonts w:ascii="Times New Roman" w:hAnsi="Times New Roman" w:cs="Times New Roman"/>
                <w:sz w:val="28"/>
                <w:szCs w:val="28"/>
              </w:rPr>
            </w:pPr>
            <w:r>
              <w:rPr>
                <w:noProof/>
              </w:rPr>
              <w:lastRenderedPageBreak/>
              <w:drawing>
                <wp:inline distT="0" distB="0" distL="0" distR="0">
                  <wp:extent cx="3552825"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825" cy="2609850"/>
                          </a:xfrm>
                          <a:prstGeom prst="rect">
                            <a:avLst/>
                          </a:prstGeom>
                          <a:noFill/>
                          <a:ln>
                            <a:noFill/>
                          </a:ln>
                        </pic:spPr>
                      </pic:pic>
                    </a:graphicData>
                  </a:graphic>
                </wp:inline>
              </w:drawing>
            </w: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Pr="001670B9" w:rsidRDefault="00895F46" w:rsidP="00DF7696">
      <w:pPr>
        <w:rPr>
          <w:bCs/>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F6C5F"/>
    <w:multiLevelType w:val="multilevel"/>
    <w:tmpl w:val="814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2"/>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3"/>
  </w:num>
  <w:num w:numId="24">
    <w:abstractNumId w:val="13"/>
  </w:num>
  <w:num w:numId="25">
    <w:abstractNumId w:val="8"/>
  </w:num>
  <w:num w:numId="26">
    <w:abstractNumId w:val="34"/>
  </w:num>
  <w:num w:numId="27">
    <w:abstractNumId w:val="15"/>
  </w:num>
  <w:num w:numId="28">
    <w:abstractNumId w:val="16"/>
  </w:num>
  <w:num w:numId="29">
    <w:abstractNumId w:val="6"/>
  </w:num>
  <w:num w:numId="30">
    <w:abstractNumId w:val="5"/>
  </w:num>
  <w:num w:numId="31">
    <w:abstractNumId w:val="7"/>
  </w:num>
  <w:num w:numId="32">
    <w:abstractNumId w:val="17"/>
  </w:num>
  <w:num w:numId="33">
    <w:abstractNumId w:val="29"/>
  </w:num>
  <w:num w:numId="34">
    <w:abstractNumId w:val="14"/>
  </w:num>
  <w:num w:numId="35">
    <w:abstractNumId w:val="21"/>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84935"/>
    <w:rsid w:val="0009423A"/>
    <w:rsid w:val="00097B2B"/>
    <w:rsid w:val="000B5863"/>
    <w:rsid w:val="000F31A0"/>
    <w:rsid w:val="000F3284"/>
    <w:rsid w:val="0011078E"/>
    <w:rsid w:val="00153A9B"/>
    <w:rsid w:val="0016204A"/>
    <w:rsid w:val="001670B9"/>
    <w:rsid w:val="00167C95"/>
    <w:rsid w:val="001901F2"/>
    <w:rsid w:val="001932E9"/>
    <w:rsid w:val="00203AA6"/>
    <w:rsid w:val="00214886"/>
    <w:rsid w:val="00274B59"/>
    <w:rsid w:val="002906A8"/>
    <w:rsid w:val="002A0246"/>
    <w:rsid w:val="002B0245"/>
    <w:rsid w:val="002B7240"/>
    <w:rsid w:val="002C1B43"/>
    <w:rsid w:val="00313B93"/>
    <w:rsid w:val="00334890"/>
    <w:rsid w:val="00353CA3"/>
    <w:rsid w:val="003557A6"/>
    <w:rsid w:val="00360FAE"/>
    <w:rsid w:val="003D3E36"/>
    <w:rsid w:val="003E3C95"/>
    <w:rsid w:val="00400F53"/>
    <w:rsid w:val="0043512C"/>
    <w:rsid w:val="00435D75"/>
    <w:rsid w:val="00446504"/>
    <w:rsid w:val="00486247"/>
    <w:rsid w:val="004A17FA"/>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044E0"/>
    <w:rsid w:val="00814641"/>
    <w:rsid w:val="00841E43"/>
    <w:rsid w:val="0088053A"/>
    <w:rsid w:val="00895F46"/>
    <w:rsid w:val="00925244"/>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55A33"/>
    <w:rsid w:val="00CF4D60"/>
    <w:rsid w:val="00D01988"/>
    <w:rsid w:val="00D26185"/>
    <w:rsid w:val="00D7074E"/>
    <w:rsid w:val="00D91084"/>
    <w:rsid w:val="00DF7696"/>
    <w:rsid w:val="00E40C14"/>
    <w:rsid w:val="00E41E95"/>
    <w:rsid w:val="00E56782"/>
    <w:rsid w:val="00E71A90"/>
    <w:rsid w:val="00E8441B"/>
    <w:rsid w:val="00E84B0D"/>
    <w:rsid w:val="00E8669C"/>
    <w:rsid w:val="00EE1671"/>
    <w:rsid w:val="00F054B2"/>
    <w:rsid w:val="00F211E9"/>
    <w:rsid w:val="00F41BF1"/>
    <w:rsid w:val="00F529F8"/>
    <w:rsid w:val="00F578CF"/>
    <w:rsid w:val="00F63353"/>
    <w:rsid w:val="00FB3DFB"/>
    <w:rsid w:val="00FE2DCF"/>
    <w:rsid w:val="00FF4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5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35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7001360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977">
      <w:bodyDiv w:val="1"/>
      <w:marLeft w:val="0"/>
      <w:marRight w:val="0"/>
      <w:marTop w:val="0"/>
      <w:marBottom w:val="0"/>
      <w:divBdr>
        <w:top w:val="none" w:sz="0" w:space="0" w:color="auto"/>
        <w:left w:val="none" w:sz="0" w:space="0" w:color="auto"/>
        <w:bottom w:val="none" w:sz="0" w:space="0" w:color="auto"/>
        <w:right w:val="none" w:sz="0" w:space="0" w:color="auto"/>
      </w:divBdr>
    </w:div>
    <w:div w:id="569272400">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6304943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016444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99273219">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63227976">
      <w:bodyDiv w:val="1"/>
      <w:marLeft w:val="0"/>
      <w:marRight w:val="0"/>
      <w:marTop w:val="0"/>
      <w:marBottom w:val="0"/>
      <w:divBdr>
        <w:top w:val="none" w:sz="0" w:space="0" w:color="auto"/>
        <w:left w:val="none" w:sz="0" w:space="0" w:color="auto"/>
        <w:bottom w:val="none" w:sz="0" w:space="0" w:color="auto"/>
        <w:right w:val="none" w:sz="0" w:space="0" w:color="auto"/>
      </w:divBdr>
    </w:div>
    <w:div w:id="153507531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https://ecee.colorado.edu/~bart/book/book/chapter7/ch7_3.htm#fig7_3_3"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45B9F-06A4-46F9-BF2E-F57DADD2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5</cp:revision>
  <dcterms:created xsi:type="dcterms:W3CDTF">2020-06-09T13:07:00Z</dcterms:created>
  <dcterms:modified xsi:type="dcterms:W3CDTF">2020-06-09T14:23:00Z</dcterms:modified>
</cp:coreProperties>
</file>