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Monitoring FDS</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Monitoring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UC-BOH-034</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Monitoring FDS</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yang memfasilitasi User Bank (Fraud Risk Officer) untuk memantau daftar transaksi atau entitas mencurigakan yang terdeteksi oleh sistem FDS beserta klasifikasi tingkat risikonya (`NORMAL`, `LOW_RISK`, `MEDIUM_RISK`, `HIGH_RISK`) melalui `fds_service`.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(Fraud Risk / Anti-Money Laundering Officer)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fds_service (Fraud Detection System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Monitoring FDS</w:t>
            </w:r>
            <w:r>
              <w:rPr>
                <w:rFonts w:ascii="Arial" w:hAnsi="Arial"/>
                <w:b w:val="0"/>
                <w:i w:val="0"/>
                <w:color w:val="000000"/>
                <w:sz w:val="22"/>
              </w:rPr>
              <w:t xml:space="preserve">. Front-End mengirim request ke API Gateway. Service `fds_service` memproses query pencarian dan mengembalikan daftar entitas/transaksi terdeteksi yang sedang dipantau FDS beserta informasi atribut penanda kecurangan dan klasifikasi *risk level*. Sistem menampilkan halaman Monitoring FDS yang berisi tabel daftar pemantauan FDS dengan kolom indikator tingkat risiko berlabel </w:t>
            </w:r>
            <w:r>
              <w:rPr>
                <w:rFonts w:ascii="Arial" w:hAnsi="Arial"/>
                <w:b/>
                <w:i w:val="0"/>
                <w:color w:val="000000"/>
                <w:sz w:val="22"/>
              </w:rPr>
              <w:t>`NORMAL`</w:t>
            </w:r>
            <w:r>
              <w:rPr>
                <w:rFonts w:ascii="Arial" w:hAnsi="Arial"/>
                <w:b w:val="0"/>
                <w:i w:val="0"/>
                <w:color w:val="000000"/>
                <w:sz w:val="22"/>
              </w:rPr>
              <w:t xml:space="preserve">, </w:t>
            </w:r>
            <w:r>
              <w:rPr>
                <w:rFonts w:ascii="Arial" w:hAnsi="Arial"/>
                <w:b/>
                <w:i w:val="0"/>
                <w:color w:val="000000"/>
                <w:sz w:val="22"/>
              </w:rPr>
              <w:t>`LOW_RISK`</w:t>
            </w:r>
            <w:r>
              <w:rPr>
                <w:rFonts w:ascii="Arial" w:hAnsi="Arial"/>
                <w:b w:val="0"/>
                <w:i w:val="0"/>
                <w:color w:val="000000"/>
                <w:sz w:val="22"/>
              </w:rPr>
              <w:t xml:space="preserve">, </w:t>
            </w:r>
            <w:r>
              <w:rPr>
                <w:rFonts w:ascii="Arial" w:hAnsi="Arial"/>
                <w:b/>
                <w:i w:val="0"/>
                <w:color w:val="000000"/>
                <w:sz w:val="22"/>
              </w:rPr>
              <w:t>`MEDIUM_RISK`</w:t>
            </w:r>
            <w:r>
              <w:rPr>
                <w:rFonts w:ascii="Arial" w:hAnsi="Arial"/>
                <w:b w:val="0"/>
                <w:i w:val="0"/>
                <w:color w:val="000000"/>
                <w:sz w:val="22"/>
              </w:rPr>
              <w:t xml:space="preserve">, dan </w:t>
            </w:r>
            <w:r>
              <w:rPr>
                <w:rFonts w:ascii="Arial" w:hAnsi="Arial"/>
                <w:b/>
                <w:i w:val="0"/>
                <w:color w:val="000000"/>
                <w:sz w:val="22"/>
              </w:rPr>
              <w:t>`HIGH_RISK`</w:t>
            </w:r>
            <w:r>
              <w:rPr>
                <w:rFonts w:ascii="Arial" w:hAnsi="Arial"/>
                <w:b w:val="0"/>
                <w:i w:val="0"/>
                <w:color w:val="000000"/>
                <w:sz w:val="22"/>
              </w:rPr>
              <w:t>. User Bank dapat melakukan pencarian, penyaringan (*filter*) berdasarkan tingkat risiko atau rentang tanggal, serta melihat rincian alert yang sedang diawasi.</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kewenangan otorisasi *Fraud Risk Officer*.</w:t>
            </w:r>
          </w:p>
          <w:p>
            <w:pPr>
              <w:numPr>
                <w:ilvl w:val="0"/>
                <w:numId w:val="24"/>
              </w:numPr>
              <w:spacing w:line="360" w:lineRule="auto"/>
              <w:jc w:val="both"/>
            </w:pPr>
            <w:r>
              <w:rPr>
                <w:rFonts w:ascii="Arial" w:hAnsi="Arial"/>
                <w:b w:val="0"/>
                <w:i w:val="0"/>
                <w:color w:val="000000"/>
                <w:sz w:val="22"/>
              </w:rPr>
              <w:t>Service `fds_service` beroperasi dan terhubung dengan API Gateway.</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Front-End menyajikan tabel daftar pemantauan FDS yang berisi entitas/transaksi terdeteksi beserta badge status *risk level* (`NORMAL`, `LOW_RISK`, `MEDIUM_RISK`, `HIGH_RISK`).</w:t>
            </w:r>
          </w:p>
          <w:p>
            <w:pPr>
              <w:numPr>
                <w:ilvl w:val="0"/>
                <w:numId w:val="25"/>
              </w:numPr>
              <w:spacing w:line="360" w:lineRule="auto"/>
              <w:jc w:val="both"/>
            </w:pPr>
            <w:r>
              <w:rPr>
                <w:rFonts w:ascii="Arial" w:hAnsi="Arial"/>
                <w:b w:val="0"/>
                <w:i w:val="0"/>
                <w:color w:val="000000"/>
                <w:sz w:val="22"/>
              </w:rPr>
              <w:t>User Bank dapat memfilter dan mengevaluasi entitas yang memerlukan tindakan penanganan indikasi fraud.</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menu </w:t>
            </w:r>
            <w:r>
              <w:rPr>
                <w:rFonts w:ascii="Arial" w:hAnsi="Arial"/>
                <w:b/>
                <w:i w:val="0"/>
                <w:color w:val="000000"/>
                <w:sz w:val="22"/>
              </w:rPr>
              <w:t>FDS</w:t>
            </w:r>
            <w:r>
              <w:rPr>
                <w:rFonts w:ascii="Arial" w:hAnsi="Arial"/>
                <w:b w:val="0"/>
                <w:i w:val="0"/>
                <w:color w:val="000000"/>
                <w:sz w:val="22"/>
              </w:rPr>
              <w:t xml:space="preserve"> -&gt; sub-menu </w:t>
            </w:r>
            <w:r>
              <w:rPr>
                <w:rFonts w:ascii="Arial" w:hAnsi="Arial"/>
                <w:b/>
                <w:i w:val="0"/>
                <w:color w:val="000000"/>
                <w:sz w:val="22"/>
              </w:rPr>
              <w:t>Monitoring FDS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Tidak dapat diekspose (Dikelola secara internal di dalam `fds_service`)</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tabel daftar monitoring FDS, filter risk level, dan pencarian transaksi terindikasi.</w:t>
            </w:r>
          </w:p>
          <w:p>
            <w:pPr>
              <w:numPr>
                <w:ilvl w:val="0"/>
                <w:numId w:val="26"/>
              </w:numPr>
              <w:spacing w:line="360" w:lineRule="auto"/>
              <w:jc w:val="both"/>
            </w:pPr>
            <w:r>
              <w:rPr>
                <w:rFonts w:ascii="Arial" w:hAnsi="Arial"/>
                <w:b/>
                <w:i w:val="0"/>
                <w:color w:val="000000"/>
                <w:sz w:val="22"/>
              </w:rPr>
              <w:t>fds_service:</w:t>
            </w:r>
            <w:r>
              <w:rPr>
                <w:rFonts w:ascii="Arial" w:hAnsi="Arial"/>
                <w:b w:val="0"/>
                <w:i w:val="0"/>
                <w:color w:val="000000"/>
                <w:sz w:val="22"/>
              </w:rPr>
              <w:t xml:space="preserve"> Microservice terisolasi pengelola aturan *fraud detection*, penilaian skor risiko, serta penyedia API data pemantauan FDS.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Aturan klasifikasi *risk level* dihitung secara otomatis oleh mesin aturan internal `fds_service`.</w:t>
            </w:r>
          </w:p>
          <w:p>
            <w:pPr>
              <w:numPr>
                <w:ilvl w:val="0"/>
                <w:numId w:val="27"/>
              </w:numPr>
              <w:spacing w:line="360" w:lineRule="auto"/>
              <w:jc w:val="both"/>
            </w:pPr>
            <w:r>
              <w:rPr>
                <w:rFonts w:ascii="Arial" w:hAnsi="Arial"/>
                <w:b w:val="0"/>
                <w:i w:val="0"/>
                <w:color w:val="000000"/>
                <w:sz w:val="22"/>
              </w:rPr>
              <w:t>Seluruh nama tabel database dan repositori FDS terisolasi secara internal di dalam `fds_service` demi keamanan dan privasi arsitektur.</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Skema dan nama tabel database tidak diekspose ke luar layer integrasi `fds_service`.</w:t>
            </w:r>
          </w:p>
          <w:p>
            <w:pPr>
              <w:numPr>
                <w:ilvl w:val="0"/>
                <w:numId w:val="28"/>
              </w:numPr>
              <w:spacing w:line="360" w:lineRule="auto"/>
              <w:jc w:val="both"/>
            </w:pPr>
            <w:r>
              <w:rPr>
                <w:rFonts w:ascii="Arial" w:hAnsi="Arial"/>
                <w:b w:val="0"/>
                <w:i w:val="0"/>
                <w:color w:val="000000"/>
                <w:sz w:val="22"/>
              </w:rPr>
              <w:t>Klasifikasi nilai *risk level* yang valid dibatasi pada 4 status baku: `NORMAL`, `LOW_RISK`, `MEDIUM_RISK`, dan `HIGH_RISK`.</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Risk Level Standard Classification:</w:t>
            </w:r>
            <w:r>
              <w:rPr>
                <w:rFonts w:ascii="Arial" w:hAnsi="Arial"/>
                <w:b w:val="0"/>
                <w:i w:val="0"/>
                <w:color w:val="000000"/>
                <w:sz w:val="22"/>
              </w:rPr>
              <w:t xml:space="preserve"> Setiap item yang muncul pada tabel Monitoring FDS WAJIB memiliki status *risk level* yang diklasifikasikan ke dalam salah satu dari empat nilai baku: </w:t>
            </w:r>
            <w:r>
              <w:rPr>
                <w:rFonts w:ascii="Arial" w:hAnsi="Arial"/>
                <w:b/>
                <w:i w:val="0"/>
                <w:color w:val="000000"/>
                <w:sz w:val="22"/>
              </w:rPr>
              <w:t>`NORMAL`</w:t>
            </w:r>
            <w:r>
              <w:rPr>
                <w:rFonts w:ascii="Arial" w:hAnsi="Arial"/>
                <w:b w:val="0"/>
                <w:i w:val="0"/>
                <w:color w:val="000000"/>
                <w:sz w:val="22"/>
              </w:rPr>
              <w:t xml:space="preserve">, </w:t>
            </w:r>
            <w:r>
              <w:rPr>
                <w:rFonts w:ascii="Arial" w:hAnsi="Arial"/>
                <w:b/>
                <w:i w:val="0"/>
                <w:color w:val="000000"/>
                <w:sz w:val="22"/>
              </w:rPr>
              <w:t>`LOW_RISK`</w:t>
            </w:r>
            <w:r>
              <w:rPr>
                <w:rFonts w:ascii="Arial" w:hAnsi="Arial"/>
                <w:b w:val="0"/>
                <w:i w:val="0"/>
                <w:color w:val="000000"/>
                <w:sz w:val="22"/>
              </w:rPr>
              <w:t xml:space="preserve">, </w:t>
            </w:r>
            <w:r>
              <w:rPr>
                <w:rFonts w:ascii="Arial" w:hAnsi="Arial"/>
                <w:b/>
                <w:i w:val="0"/>
                <w:color w:val="000000"/>
                <w:sz w:val="22"/>
              </w:rPr>
              <w:t>`MEDIUM_RISK`</w:t>
            </w:r>
            <w:r>
              <w:rPr>
                <w:rFonts w:ascii="Arial" w:hAnsi="Arial"/>
                <w:b w:val="0"/>
                <w:i w:val="0"/>
                <w:color w:val="000000"/>
                <w:sz w:val="22"/>
              </w:rPr>
              <w:t xml:space="preserve">, atau </w:t>
            </w:r>
            <w:r>
              <w:rPr>
                <w:rFonts w:ascii="Arial" w:hAnsi="Arial"/>
                <w:b/>
                <w:i w:val="0"/>
                <w:color w:val="000000"/>
                <w:sz w:val="22"/>
              </w:rPr>
              <w:t>`HIGH_RISK`</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Internal Encapsulation Standard:</w:t>
            </w:r>
            <w:r>
              <w:rPr>
                <w:rFonts w:ascii="Arial" w:hAnsi="Arial"/>
                <w:b w:val="0"/>
                <w:i w:val="0"/>
                <w:color w:val="000000"/>
                <w:sz w:val="22"/>
              </w:rPr>
              <w:t xml:space="preserve"> Data tabel internal `fds_service` DILARANG diekspose secara langsung ke Front-End; komunikasi wajib melalui API agregasi/list tertutup.</w:t>
            </w:r>
          </w:p>
          <w:p>
            <w:pPr>
              <w:numPr>
                <w:ilvl w:val="0"/>
                <w:numId w:val="29"/>
              </w:numPr>
              <w:spacing w:line="360" w:lineRule="auto"/>
              <w:jc w:val="both"/>
            </w:pPr>
            <w:r>
              <w:rPr>
                <w:rFonts w:ascii="Arial" w:hAnsi="Arial"/>
                <w:b/>
                <w:i w:val="0"/>
                <w:color w:val="000000"/>
                <w:sz w:val="22"/>
              </w:rPr>
              <w:t>Filtering &amp; Searching Standard:</w:t>
            </w:r>
            <w:r>
              <w:rPr>
                <w:rFonts w:ascii="Arial" w:hAnsi="Arial"/>
                <w:b w:val="0"/>
                <w:i w:val="0"/>
                <w:color w:val="000000"/>
                <w:sz w:val="22"/>
              </w:rPr>
              <w:t xml:space="preserve"> Antarmuka Monitoring FDS WAJIB menyediakan filter berdasarkan *Risk Level* (`NORMAL`, `LOW_RISK`, `MEDIUM_RISK`, `HIGH_RISK`), rentang tanggal, dan kolom pencarian (*search bar*).</w:t>
            </w:r>
          </w:p>
          <w:p>
            <w:pPr>
              <w:numPr>
                <w:ilvl w:val="0"/>
                <w:numId w:val="29"/>
              </w:numPr>
              <w:spacing w:line="360" w:lineRule="auto"/>
              <w:jc w:val="both"/>
            </w:pPr>
            <w:r>
              <w:rPr>
                <w:rFonts w:ascii="Arial" w:hAnsi="Arial"/>
                <w:b/>
                <w:i w:val="0"/>
                <w:color w:val="000000"/>
                <w:sz w:val="22"/>
              </w:rPr>
              <w:t>Role-based Access Control:</w:t>
            </w:r>
            <w:r>
              <w:rPr>
                <w:rFonts w:ascii="Arial" w:hAnsi="Arial"/>
                <w:b w:val="0"/>
                <w:i w:val="0"/>
                <w:color w:val="000000"/>
                <w:sz w:val="22"/>
              </w:rPr>
              <w:t xml:space="preserve"> Hanya User Bank ber-role Fraud / Risk Officer yang memiliki otoritas mengakses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Monitoring FDS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Monitoring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FDS</w:t>
            </w:r>
          </w:p>
        </w:tc>
        <w:tc>
          <w:tcPr>
            <w:tcW w:type="dxa" w:w="3009"/>
          </w:tcPr>
          <w:p>
            <w:pPr>
              <w:spacing w:line="360" w:lineRule="auto"/>
              <w:jc w:val="both"/>
            </w:pPr>
            <w:r/>
            <w:r>
              <w:rPr>
                <w:rFonts w:ascii="Arial" w:hAnsi="Arial"/>
                <w:b w:val="0"/>
                <w:i w:val="0"/>
                <w:color w:val="000000"/>
                <w:sz w:val="22"/>
              </w:rPr>
              <w:t xml:space="preserve">User Bank melakukan login SSO dan mengklik menu utama </w:t>
            </w:r>
            <w:r>
              <w:rPr>
                <w:rFonts w:ascii="Arial" w:hAnsi="Arial"/>
                <w:b/>
                <w:i w:val="0"/>
                <w:color w:val="000000"/>
                <w:sz w:val="22"/>
              </w:rPr>
              <w:t>FDS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Sub-menu Monitoring FDS</w:t>
            </w:r>
          </w:p>
        </w:tc>
        <w:tc>
          <w:tcPr>
            <w:tcW w:type="dxa" w:w="3009"/>
          </w:tcPr>
          <w:p>
            <w:pPr>
              <w:spacing w:line="360" w:lineRule="auto"/>
              <w:jc w:val="both"/>
            </w:pPr>
            <w:r/>
            <w:r>
              <w:rPr>
                <w:rFonts w:ascii="Arial" w:hAnsi="Arial"/>
                <w:b w:val="0"/>
                <w:i w:val="0"/>
                <w:color w:val="000000"/>
                <w:sz w:val="22"/>
              </w:rPr>
              <w:t xml:space="preserve">User Bank memilih sub-menu </w:t>
            </w:r>
            <w:r>
              <w:rPr>
                <w:rFonts w:ascii="Arial" w:hAnsi="Arial"/>
                <w:b/>
                <w:i w:val="0"/>
                <w:color w:val="000000"/>
                <w:sz w:val="22"/>
              </w:rPr>
              <w:t>Monitoring FDS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Mengirim Request List Monitoring</w:t>
            </w:r>
          </w:p>
        </w:tc>
        <w:tc>
          <w:tcPr>
            <w:tcW w:type="dxa" w:w="3009"/>
          </w:tcPr>
          <w:p>
            <w:pPr>
              <w:spacing w:line="360" w:lineRule="auto"/>
              <w:jc w:val="both"/>
            </w:pPr>
            <w:r/>
            <w:r>
              <w:rPr>
                <w:rFonts w:ascii="Arial" w:hAnsi="Arial"/>
                <w:b w:val="0"/>
                <w:i w:val="0"/>
                <w:color w:val="000000"/>
                <w:sz w:val="22"/>
              </w:rPr>
              <w:t>Front-End mengirim request pengambilan daftar monitoring FDS ke API Gateway.</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Memproses List Pemantauan FDS</w:t>
            </w:r>
          </w:p>
        </w:tc>
        <w:tc>
          <w:tcPr>
            <w:tcW w:type="dxa" w:w="3009"/>
          </w:tcPr>
          <w:p>
            <w:pPr>
              <w:spacing w:line="360" w:lineRule="auto"/>
              <w:jc w:val="both"/>
            </w:pPr>
            <w:r/>
            <w:r>
              <w:rPr>
                <w:rFonts w:ascii="Arial" w:hAnsi="Arial"/>
                <w:b w:val="0"/>
                <w:i w:val="0"/>
                <w:color w:val="000000"/>
                <w:sz w:val="22"/>
              </w:rPr>
              <w:t>Service `fds_service` mengolah pencarian data pemantauan FDS internal service beserta atribut klasifikasi *risk level* (`NORMAL`, `LOW_RISK`, `MEDIUM_RISK`, `HIGH_RISK`).</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Mengembalikan Response List</w:t>
            </w:r>
          </w:p>
        </w:tc>
        <w:tc>
          <w:tcPr>
            <w:tcW w:type="dxa" w:w="3009"/>
          </w:tcPr>
          <w:p>
            <w:pPr>
              <w:spacing w:line="360" w:lineRule="auto"/>
              <w:jc w:val="both"/>
            </w:pPr>
            <w:r/>
            <w:r>
              <w:rPr>
                <w:rFonts w:ascii="Arial" w:hAnsi="Arial"/>
                <w:b w:val="0"/>
                <w:i w:val="0"/>
                <w:color w:val="000000"/>
                <w:sz w:val="22"/>
              </w:rPr>
              <w:t>Service `fds_service` mengembalikan data list pemantauan FDS ke Front-End melalui API Gateway.</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Menampilkan Tabel Monitoring FDS</w:t>
            </w:r>
          </w:p>
        </w:tc>
        <w:tc>
          <w:tcPr>
            <w:tcW w:type="dxa" w:w="3009"/>
          </w:tcPr>
          <w:p>
            <w:pPr>
              <w:spacing w:line="360" w:lineRule="auto"/>
              <w:jc w:val="both"/>
            </w:pPr>
            <w:r/>
            <w:r>
              <w:rPr>
                <w:rFonts w:ascii="Arial" w:hAnsi="Arial"/>
                <w:b w:val="0"/>
                <w:i w:val="0"/>
                <w:color w:val="000000"/>
                <w:sz w:val="22"/>
              </w:rPr>
              <w:t>Front-End menampilkan tabel daftar monitoring FDS yang menyajikan kolom ID Alert/Transaksi, Merchant/User, Timestamp, Skor Fraud, dan Badge *Risk Level* (`NORMAL`, `LOW_RISK`, `MEDIUM_RISK`, `HIGH_RISK`).</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Memfilter Berdasarkan Risk Level</w:t>
            </w:r>
          </w:p>
        </w:tc>
        <w:tc>
          <w:tcPr>
            <w:tcW w:type="dxa" w:w="3009"/>
          </w:tcPr>
          <w:p>
            <w:pPr>
              <w:spacing w:line="360" w:lineRule="auto"/>
              <w:jc w:val="both"/>
            </w:pPr>
            <w:r/>
            <w:r>
              <w:rPr>
                <w:rFonts w:ascii="Arial" w:hAnsi="Arial"/>
                <w:b w:val="0"/>
                <w:i w:val="0"/>
                <w:color w:val="000000"/>
                <w:sz w:val="22"/>
              </w:rPr>
              <w:t xml:space="preserve">(Opsional) User Bank memilih salah satu status pada dropdown filter Risk Level (misal: `HIGH_RISK`) dan mengklik </w:t>
            </w:r>
            <w:r>
              <w:rPr>
                <w:rFonts w:ascii="Arial" w:hAnsi="Arial"/>
                <w:b/>
                <w:i w:val="0"/>
                <w:color w:val="000000"/>
                <w:sz w:val="22"/>
              </w:rPr>
              <w:t>"Terapkan Filter"</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Memperbarui Tampilan List</w:t>
            </w:r>
          </w:p>
        </w:tc>
        <w:tc>
          <w:tcPr>
            <w:tcW w:type="dxa" w:w="3009"/>
          </w:tcPr>
          <w:p>
            <w:pPr>
              <w:spacing w:line="360" w:lineRule="auto"/>
              <w:jc w:val="both"/>
            </w:pPr>
            <w:r/>
            <w:r>
              <w:rPr>
                <w:rFonts w:ascii="Arial" w:hAnsi="Arial"/>
                <w:b w:val="0"/>
                <w:i w:val="0"/>
                <w:color w:val="000000"/>
                <w:sz w:val="22"/>
              </w:rPr>
              <w:t>Front-End mengambil data terfilter dari `fds_service` dan memperbarui baris tabel monitoring FDS sesuai kriteria.</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pemantauan FDS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Monitoring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Data Pemantauan FDS Kosong</w:t>
            </w:r>
          </w:p>
        </w:tc>
        <w:tc>
          <w:tcPr>
            <w:tcW w:type="dxa" w:w="3009"/>
          </w:tcPr>
          <w:p>
            <w:pPr>
              <w:spacing w:line="360" w:lineRule="auto"/>
              <w:jc w:val="both"/>
            </w:pPr>
            <w:r/>
            <w:r>
              <w:rPr>
                <w:rFonts w:ascii="Arial" w:hAnsi="Arial"/>
                <w:b w:val="0"/>
                <w:i w:val="0"/>
                <w:color w:val="000000"/>
                <w:sz w:val="22"/>
              </w:rPr>
              <w:t>Pada langkah 5-6, apabila tidak ada item transaksi/entitas yang sesuai dengan kriteria filter, `fds_service` mengembalikan list kosong dan Front-End menampilkan `Tidak ada data monitoring FDS yang ditemukan`.</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Filter Tanggal / Risk Level Tidak Valid</w:t>
            </w:r>
          </w:p>
        </w:tc>
        <w:tc>
          <w:tcPr>
            <w:tcW w:type="dxa" w:w="3009"/>
          </w:tcPr>
          <w:p>
            <w:pPr>
              <w:spacing w:line="360" w:lineRule="auto"/>
              <w:jc w:val="both"/>
            </w:pPr>
            <w:r/>
            <w:r>
              <w:rPr>
                <w:rFonts w:ascii="Arial" w:hAnsi="Arial"/>
                <w:b w:val="0"/>
                <w:i w:val="0"/>
                <w:color w:val="000000"/>
                <w:sz w:val="22"/>
              </w:rPr>
              <w:t>Pada langkah 7, apabila kriteria filter tidak valid, Front-End menolak request dan menampilkan `Kriteria filter yang dimasukkan tidak valid`.</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Service FDS Tidak Merespon / Timeout</w:t>
            </w:r>
          </w:p>
        </w:tc>
        <w:tc>
          <w:tcPr>
            <w:tcW w:type="dxa" w:w="3009"/>
          </w:tcPr>
          <w:p>
            <w:pPr>
              <w:spacing w:line="360" w:lineRule="auto"/>
              <w:jc w:val="both"/>
            </w:pPr>
            <w:r/>
            <w:r>
              <w:rPr>
                <w:rFonts w:ascii="Arial" w:hAnsi="Arial"/>
                <w:b w:val="0"/>
                <w:i w:val="0"/>
                <w:color w:val="000000"/>
                <w:sz w:val="22"/>
              </w:rPr>
              <w:t>Pada langkah 4, apabila `fds_service` mengalami kendala atau waktu tunggu habis (timeout), API Gateway mengembalikan HTTP status 504/500 dan Front-End menampilkan `Gagal memuat data Monitoring FDS`.</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Monitoring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Tampilan default halaman Monitoring FDS menyajikan tabel daftar pemantauan beserta filter pencarian.</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(*skeleton table* / *spinner*) ditampilkan saat data list FDS sedang diunduh dari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Tabel daftar pemantauan FDS berhasil dirender dengan indikator badge *risk level* yang jelas.</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gangguan server, timeout `fds_service`, atau filter tidak valid.</w:t>
            </w:r>
          </w:p>
        </w:tc>
      </w:tr>
    </w:tbl>
    <w:p>
      <w:pPr>
        <w:spacing w:line="360" w:lineRule="auto"/>
        <w:jc w:val="both"/>
      </w:pPr>
    </w:p>
    <w:p>
      <w:pPr>
        <w:pStyle w:val="Heading5"/>
      </w:pPr>
      <w:r>
        <w:rPr>
          <w:rFonts w:ascii="Arial" w:hAnsi="Arial"/>
          <w:b w:val="0"/>
          <w:i w:val="0"/>
          <w:color w:val="000000"/>
          <w:sz w:val="22"/>
        </w:rPr>
        <w:t>Activity Diagram Monitoring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052553"/>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052553"/>
                    </a:xfrm>
                    <a:prstGeom prst="rect"/>
                  </pic:spPr>
                </pic:pic>
              </a:graphicData>
            </a:graphic>
          </wp:inline>
        </w:drawing>
      </w:r>
    </w:p>
    <w:p>
      <w:pPr>
        <w:pStyle w:val="Heading5"/>
      </w:pPr>
      <w:r>
        <w:rPr>
          <w:rFonts w:ascii="Arial" w:hAnsi="Arial"/>
          <w:b w:val="0"/>
          <w:i w:val="0"/>
          <w:color w:val="000000"/>
          <w:sz w:val="22"/>
        </w:rPr>
        <w:t>Sequence Diagram Monitoring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244416"/>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244416"/>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Monitoring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SUCCESS_GET_FDS_MONITORING_LIST</w:t>
            </w:r>
          </w:p>
        </w:tc>
        <w:tc>
          <w:tcPr>
            <w:tcW w:type="dxa" w:w="1504"/>
          </w:tcPr>
          <w:p>
            <w:pPr>
              <w:spacing w:line="360" w:lineRule="auto"/>
              <w:jc w:val="both"/>
            </w:pPr>
            <w:r/>
            <w:r>
              <w:rPr>
                <w:rFonts w:ascii="Arial" w:hAnsi="Arial"/>
                <w:b w:val="0"/>
                <w:i w:val="0"/>
                <w:color w:val="000000"/>
                <w:sz w:val="22"/>
              </w:rPr>
              <w:t>Daftar item pemantauan FDS dan indikator *risk level* berhasil diperoleh dari `fds_service`.</w:t>
            </w:r>
          </w:p>
        </w:tc>
        <w:tc>
          <w:tcPr>
            <w:tcW w:type="dxa" w:w="1504"/>
          </w:tcPr>
          <w:p>
            <w:pPr>
              <w:spacing w:line="360" w:lineRule="auto"/>
              <w:jc w:val="both"/>
            </w:pPr>
            <w:r/>
            <w:r>
              <w:rPr>
                <w:rFonts w:ascii="Arial" w:hAnsi="Arial"/>
                <w:b w:val="0"/>
                <w:i w:val="0"/>
                <w:color w:val="000000"/>
                <w:sz w:val="22"/>
              </w:rPr>
              <w:t>Menampilkan tabel daftar monitoring FDS pada UI.</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INVALID_FILTER_PARAMETERS</w:t>
            </w:r>
          </w:p>
        </w:tc>
        <w:tc>
          <w:tcPr>
            <w:tcW w:type="dxa" w:w="1504"/>
          </w:tcPr>
          <w:p>
            <w:pPr>
              <w:spacing w:line="360" w:lineRule="auto"/>
              <w:jc w:val="both"/>
            </w:pPr>
            <w:r/>
            <w:r>
              <w:rPr>
                <w:rFonts w:ascii="Arial" w:hAnsi="Arial"/>
                <w:b w:val="0"/>
                <w:i w:val="0"/>
                <w:color w:val="000000"/>
                <w:sz w:val="22"/>
              </w:rPr>
              <w:t>Parameter filter (seperti *risk level* atau rentang tanggal) tidak valid.</w:t>
            </w:r>
          </w:p>
        </w:tc>
        <w:tc>
          <w:tcPr>
            <w:tcW w:type="dxa" w:w="1504"/>
          </w:tcPr>
          <w:p>
            <w:pPr>
              <w:spacing w:line="360" w:lineRule="auto"/>
              <w:jc w:val="both"/>
            </w:pPr>
            <w:r/>
            <w:r>
              <w:rPr>
                <w:rFonts w:ascii="Arial" w:hAnsi="Arial"/>
                <w:b w:val="0"/>
                <w:i w:val="0"/>
                <w:color w:val="000000"/>
                <w:sz w:val="22"/>
              </w:rPr>
              <w:t>Menampilkan pesan kesalahan `Kriteria filter yang dimasukkan tidak valid`.</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403XX00</w:t>
            </w:r>
          </w:p>
        </w:tc>
        <w:tc>
          <w:tcPr>
            <w:tcW w:type="dxa" w:w="1504"/>
          </w:tcPr>
          <w:p>
            <w:pPr>
              <w:spacing w:line="360" w:lineRule="auto"/>
              <w:jc w:val="both"/>
            </w:pPr>
            <w:r/>
            <w:r>
              <w:rPr>
                <w:rFonts w:ascii="Arial" w:hAnsi="Arial"/>
                <w:b w:val="0"/>
                <w:i w:val="0"/>
                <w:color w:val="000000"/>
                <w:sz w:val="22"/>
              </w:rPr>
              <w:t>FDS_ACCESS_DENIED</w:t>
            </w:r>
          </w:p>
        </w:tc>
        <w:tc>
          <w:tcPr>
            <w:tcW w:type="dxa" w:w="1504"/>
          </w:tcPr>
          <w:p>
            <w:pPr>
              <w:spacing w:line="360" w:lineRule="auto"/>
              <w:jc w:val="both"/>
            </w:pPr>
            <w:r/>
            <w:r>
              <w:rPr>
                <w:rFonts w:ascii="Arial" w:hAnsi="Arial"/>
                <w:b w:val="0"/>
                <w:i w:val="0"/>
                <w:color w:val="000000"/>
                <w:sz w:val="22"/>
              </w:rPr>
              <w:t>User Bank tidak memiliki kewenangan otorisasi untuk mengakses fitur monitoring FDS.</w:t>
            </w:r>
          </w:p>
        </w:tc>
        <w:tc>
          <w:tcPr>
            <w:tcW w:type="dxa" w:w="1504"/>
          </w:tcPr>
          <w:p>
            <w:pPr>
              <w:spacing w:line="360" w:lineRule="auto"/>
              <w:jc w:val="both"/>
            </w:pPr>
            <w:r/>
            <w:r>
              <w:rPr>
                <w:rFonts w:ascii="Arial" w:hAnsi="Arial"/>
                <w:b w:val="0"/>
                <w:i w:val="0"/>
                <w:color w:val="000000"/>
                <w:sz w:val="22"/>
              </w:rPr>
              <w:t>Menampilkan pesan kesalahan `Akses ditolak. Anda tidak memiliki izin melihat menu FDS`.</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FDS_SERVICE_ERROR</w:t>
            </w:r>
          </w:p>
        </w:tc>
        <w:tc>
          <w:tcPr>
            <w:tcW w:type="dxa" w:w="1504"/>
          </w:tcPr>
          <w:p>
            <w:pPr>
              <w:spacing w:line="360" w:lineRule="auto"/>
              <w:jc w:val="both"/>
            </w:pPr>
            <w:r/>
            <w:r>
              <w:rPr>
                <w:rFonts w:ascii="Arial" w:hAnsi="Arial"/>
                <w:b w:val="0"/>
                <w:i w:val="0"/>
                <w:color w:val="000000"/>
                <w:sz w:val="22"/>
              </w:rPr>
              <w:t>Terjadi gangguan internal pada `fds_service` saat memproses pencarian data pemantauan.</w:t>
            </w:r>
          </w:p>
        </w:tc>
        <w:tc>
          <w:tcPr>
            <w:tcW w:type="dxa" w:w="1504"/>
          </w:tcPr>
          <w:p>
            <w:pPr>
              <w:spacing w:line="360" w:lineRule="auto"/>
              <w:jc w:val="both"/>
            </w:pPr>
            <w:r/>
            <w:r>
              <w:rPr>
                <w:rFonts w:ascii="Arial" w:hAnsi="Arial"/>
                <w:b w:val="0"/>
                <w:i w:val="0"/>
                <w:color w:val="000000"/>
                <w:sz w:val="22"/>
              </w:rPr>
              <w:t>Menampilkan pesan kesalahan `Gagal memuat data Monitoring FDS`.</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Monitoring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Monitoring FDS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Filter Bar:</w:t>
            </w:r>
            <w:r>
              <w:rPr>
                <w:rFonts w:ascii="Arial" w:hAnsi="Arial"/>
                <w:b w:val="0"/>
                <w:i w:val="0"/>
                <w:color w:val="000000"/>
                <w:sz w:val="22"/>
              </w:rPr>
              <w:t xml:space="preserve"> Dropdown Filter </w:t>
            </w:r>
            <w:r>
              <w:rPr>
                <w:rFonts w:ascii="Arial" w:hAnsi="Arial"/>
                <w:b/>
                <w:i w:val="0"/>
                <w:color w:val="000000"/>
                <w:sz w:val="22"/>
              </w:rPr>
              <w:t>Risk Level</w:t>
            </w:r>
            <w:r>
              <w:rPr>
                <w:rFonts w:ascii="Arial" w:hAnsi="Arial"/>
                <w:b w:val="0"/>
                <w:i w:val="0"/>
                <w:color w:val="000000"/>
                <w:sz w:val="22"/>
              </w:rPr>
              <w:t xml:space="preserve"> (`Semua`, `NORMAL`, `LOW_RISK`, `MEDIUM_RISK`, `HIGH_RISK`), Datepicker Filter, dan Input Search Bar.&lt;br&gt;2. </w:t>
            </w:r>
            <w:r>
              <w:rPr>
                <w:rFonts w:ascii="Arial" w:hAnsi="Arial"/>
                <w:b/>
                <w:i w:val="0"/>
                <w:color w:val="000000"/>
                <w:sz w:val="22"/>
              </w:rPr>
              <w:t>Tabel Monitoring FDS:</w:t>
            </w:r>
            <w:r>
              <w:rPr>
                <w:rFonts w:ascii="Arial" w:hAnsi="Arial"/>
                <w:b w:val="0"/>
                <w:i w:val="0"/>
                <w:color w:val="000000"/>
                <w:sz w:val="22"/>
              </w:rPr>
              <w:t xml:space="preserve"> Kolom No, ID Alert/Transaksi, Tanggal/Waktu, Nama Merchant/User, Skor Fraud, </w:t>
            </w:r>
            <w:r>
              <w:rPr>
                <w:rFonts w:ascii="Arial" w:hAnsi="Arial"/>
                <w:b/>
                <w:i w:val="0"/>
                <w:color w:val="000000"/>
                <w:sz w:val="22"/>
              </w:rPr>
              <w:t>Risk Level</w:t>
            </w:r>
            <w:r>
              <w:rPr>
                <w:rFonts w:ascii="Arial" w:hAnsi="Arial"/>
                <w:b w:val="0"/>
                <w:i w:val="0"/>
                <w:color w:val="000000"/>
                <w:sz w:val="22"/>
              </w:rPr>
              <w:t xml:space="preserve"> (Badge Warna: `NORMAL` - Hijau, `LOW_RISK` - Biru, `MEDIUM_RISK` - Kuning/Oranye, `HIGH_RISK` - Merah), dan Action (</w:t>
            </w:r>
            <w:r>
              <w:rPr>
                <w:rFonts w:ascii="Arial" w:hAnsi="Arial"/>
                <w:b/>
                <w:i w:val="0"/>
                <w:color w:val="000000"/>
                <w:sz w:val="22"/>
              </w:rPr>
              <w:t>Detail</w:t>
            </w:r>
            <w:r>
              <w:rPr>
                <w:rFonts w:ascii="Arial" w:hAnsi="Arial"/>
                <w:b w:val="0"/>
                <w:i w:val="0"/>
                <w:color w:val="000000"/>
                <w:sz w:val="22"/>
              </w:rPr>
              <w:t xml:space="preserve">).&lt;br&gt;3. </w:t>
            </w:r>
            <w:r>
              <w:rPr>
                <w:rFonts w:ascii="Arial" w:hAnsi="Arial"/>
                <w:b/>
                <w:i w:val="0"/>
                <w:color w:val="000000"/>
                <w:sz w:val="22"/>
              </w:rPr>
              <w:t>Pagination Component:</w:t>
            </w:r>
            <w:r>
              <w:rPr>
                <w:rFonts w:ascii="Arial" w:hAnsi="Arial"/>
                <w:b w:val="0"/>
                <w:i w:val="0"/>
                <w:color w:val="000000"/>
                <w:sz w:val="22"/>
              </w:rPr>
              <w:t xml:space="preserve"> Kontrol navigasi halaman data list.</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