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Investigasi &amp; Whitelist Suspect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Investigasi &amp; Whitelist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Investigasi &amp; Whitelist Suspect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(Fraud Risk Officer) untuk meninjau transaksi mencurigakan ber-risk level `MEDIUM_RISK` dan `HIGH_RISK` pada menu Suspect Management, menganalisis riwayat transaksi, melakukan koordinasi investigasi lintas divisi, serta mengeksekusi pelepasan dan pendaftaran ke daftar putih (*Whitelist*) pada `fds_service` agar transaksi/entitas tersebut diizinkan bertransaksi tanpa halangan FDS di masa depan.</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Investigator)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Suspect Management</w:t>
            </w:r>
            <w:r>
              <w:rPr>
                <w:rFonts w:ascii="Arial" w:hAnsi="Arial"/>
                <w:b w:val="0"/>
                <w:i w:val="0"/>
                <w:color w:val="000000"/>
                <w:sz w:val="22"/>
              </w:rPr>
              <w:t xml:space="preserve">. Sistem menampilkan daftar transaksi terindikasi fraud khusus untuk klasifikasi tingkat risiko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 xml:space="preserve">. User Bank memilih salah satu baris transaksi dan mengklik tombol aksi </w:t>
            </w:r>
            <w:r>
              <w:rPr>
                <w:rFonts w:ascii="Arial" w:hAnsi="Arial"/>
                <w:b/>
                <w:i w:val="0"/>
                <w:color w:val="000000"/>
                <w:sz w:val="22"/>
              </w:rPr>
              <w:t>"Detail"</w:t>
            </w:r>
            <w:r>
              <w:rPr>
                <w:rFonts w:ascii="Arial" w:hAnsi="Arial"/>
                <w:b w:val="0"/>
                <w:i w:val="0"/>
                <w:color w:val="000000"/>
                <w:sz w:val="22"/>
              </w:rPr>
              <w:t xml:space="preserve">. Sistem menampilkan halaman/modal rincian suspect yang berisi riwayat transaksi komprehensif, profil entitas (merchant/user), serta indikator aturan fraud yang ter-trigger. User Bank melakukan proses investigasi mendalam dan koordinasi lintas divisi (misalnya dengan divisi Compliance, Operations, atau Legal). Apabila hasil investigasi membuktikan bahwa entitas/transaksi tersebut sah (*legitimate*) dan bebas dari kecurangan, User Bank mengklik tombol </w:t>
            </w:r>
            <w:r>
              <w:rPr>
                <w:rFonts w:ascii="Arial" w:hAnsi="Arial"/>
                <w:b/>
                <w:i w:val="0"/>
                <w:color w:val="000000"/>
                <w:sz w:val="22"/>
              </w:rPr>
              <w:t>"Whitelist"</w:t>
            </w:r>
            <w:r>
              <w:rPr>
                <w:rFonts w:ascii="Arial" w:hAnsi="Arial"/>
                <w:b w:val="0"/>
                <w:i w:val="0"/>
                <w:color w:val="000000"/>
                <w:sz w:val="22"/>
              </w:rPr>
              <w:t>, menginput catatan hasil investigasi (*whitelist reason*), dan mengonfirmasi. Front-End mengirim request ke API Gateway. Service `fds_service` memproses pendaftaran entitas ke dalam daftar *Whitelist* (`whitelist_status = 'WHITELISTED'`), melepaskan penangguhan transaksi secara langsung, dan menghentikan timer penangguhan. Front-End memperbarui tampilan rincian suspect dan menampilkan notifikasi konfirmasi bahwa entitas telah berhasil di-whitelist.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Risk Investigator*.</w:t>
            </w:r>
          </w:p>
          <w:p>
            <w:pPr>
              <w:numPr>
                <w:ilvl w:val="0"/>
                <w:numId w:val="24"/>
              </w:numPr>
              <w:spacing w:line="360" w:lineRule="auto"/>
              <w:jc w:val="both"/>
            </w:pPr>
            <w:r>
              <w:rPr>
                <w:rFonts w:ascii="Arial" w:hAnsi="Arial"/>
                <w:b w:val="0"/>
                <w:i w:val="0"/>
                <w:color w:val="000000"/>
                <w:sz w:val="22"/>
              </w:rPr>
              <w:t>Terdapat transaksi/entitas suspect terdaftar pada `fds_service` dengan tingkat risiko `MEDIUM_RISK` atau `HIGH_RISK`.</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Entitas/transaksi terpilih didaftarkan ke dalam daftar putih (*Whitelist*) pada `fds_service` (`whitelist_status = 'WHITELISTED'`) dan dibebaskan dari pembatasan FDS selanjutnya.</w:t>
            </w:r>
          </w:p>
          <w:p>
            <w:pPr>
              <w:numPr>
                <w:ilvl w:val="0"/>
                <w:numId w:val="25"/>
              </w:numPr>
              <w:spacing w:line="360" w:lineRule="auto"/>
              <w:jc w:val="both"/>
            </w:pPr>
            <w:r>
              <w:rPr>
                <w:rFonts w:ascii="Arial" w:hAnsi="Arial"/>
                <w:b w:val="0"/>
                <w:i w:val="0"/>
                <w:color w:val="000000"/>
                <w:sz w:val="22"/>
              </w:rPr>
              <w:t>Penangguhan transaksi langsung dilepaskan (*released*) dan timer penangguhan dihentikan.</w:t>
            </w:r>
          </w:p>
          <w:p>
            <w:pPr>
              <w:numPr>
                <w:ilvl w:val="0"/>
                <w:numId w:val="25"/>
              </w:numPr>
              <w:spacing w:line="360" w:lineRule="auto"/>
              <w:jc w:val="both"/>
            </w:pPr>
            <w:r>
              <w:rPr>
                <w:rFonts w:ascii="Arial" w:hAnsi="Arial"/>
                <w:b w:val="0"/>
                <w:i w:val="0"/>
                <w:color w:val="000000"/>
                <w:sz w:val="22"/>
              </w:rPr>
              <w:t>Hasil keputusan dan catatan investigasi whitelist terdokumentasi pada jejak audit FDS.</w:t>
            </w:r>
          </w:p>
          <w:p>
            <w:pPr>
              <w:numPr>
                <w:ilvl w:val="0"/>
                <w:numId w:val="25"/>
              </w:numPr>
              <w:spacing w:line="360" w:lineRule="auto"/>
              <w:jc w:val="both"/>
            </w:pPr>
            <w:r>
              <w:rPr>
                <w:rFonts w:ascii="Arial" w:hAnsi="Arial"/>
                <w:b w:val="0"/>
                <w:i w:val="0"/>
                <w:color w:val="000000"/>
                <w:sz w:val="22"/>
              </w:rPr>
              <w:t>Front-End memperbarui tampilan status entitas menjadi `WHITELISTED`.</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Suspect Management</w:t>
            </w:r>
            <w:r>
              <w:rPr>
                <w:rFonts w:ascii="Arial" w:hAnsi="Arial"/>
                <w:b w:val="0"/>
                <w:i w:val="0"/>
                <w:color w:val="000000"/>
                <w:sz w:val="22"/>
              </w:rPr>
              <w:t xml:space="preserve">, mengklik tombol </w:t>
            </w:r>
            <w:r>
              <w:rPr>
                <w:rFonts w:ascii="Arial" w:hAnsi="Arial"/>
                <w:b/>
                <w:i w:val="0"/>
                <w:color w:val="000000"/>
                <w:sz w:val="22"/>
              </w:rPr>
              <w:t>"Detail"</w:t>
            </w:r>
            <w:r>
              <w:rPr>
                <w:rFonts w:ascii="Arial" w:hAnsi="Arial"/>
                <w:b w:val="0"/>
                <w:i w:val="0"/>
                <w:color w:val="000000"/>
                <w:sz w:val="22"/>
              </w:rPr>
              <w:t xml:space="preserve"> pada transaksi `MEDIUM_RISK` / `HIGH_RISK`, meninjau riwayat transaksi, dan mengklik </w:t>
            </w:r>
            <w:r>
              <w:rPr>
                <w:rFonts w:ascii="Arial" w:hAnsi="Arial"/>
                <w:b/>
                <w:i w:val="0"/>
                <w:color w:val="000000"/>
                <w:sz w:val="22"/>
              </w:rPr>
              <w:t>"Whitelist"</w:t>
            </w:r>
            <w:r>
              <w:rPr>
                <w:rFonts w:ascii="Arial" w:hAnsi="Arial"/>
                <w:b w:val="0"/>
                <w:i w:val="0"/>
                <w:color w:val="000000"/>
                <w:sz w:val="22"/>
              </w:rPr>
              <w:t xml:space="preserve"> serta mengonfirmasi catatan investigasi.</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Suspect Management, halaman riwayat rincian transaksi suspect, dan dialog konfirmasi whitelist.</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evaluasi suspect, eksekusi pendaftaran whitelist, pembebasan penangguhan transaksi, dan perekaman jejak audit FDS.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Tindakan whitelist digunakan untuk entitas yang terbukti aman setelah melalui prosedur verifikasi dan koordinasi internal.</w:t>
            </w:r>
          </w:p>
          <w:p>
            <w:pPr>
              <w:numPr>
                <w:ilvl w:val="0"/>
                <w:numId w:val="27"/>
              </w:numPr>
              <w:spacing w:line="360" w:lineRule="auto"/>
              <w:jc w:val="both"/>
            </w:pPr>
            <w:r>
              <w:rPr>
                <w:rFonts w:ascii="Arial" w:hAnsi="Arial"/>
                <w:b w:val="0"/>
                <w:i w:val="0"/>
                <w:color w:val="000000"/>
                <w:sz w:val="22"/>
              </w:rPr>
              <w:t>Seluruh nama tabel database dan repositori FDS terisolasi secara internal di dalam `fds_service` demi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Menu Suspect Management secara khusus hanya menampilkan entitas/transaksi ber-risk level `MEDIUM_RISK` dan `HIGH_RISK`.</w:t>
            </w:r>
          </w:p>
          <w:p>
            <w:pPr>
              <w:numPr>
                <w:ilvl w:val="0"/>
                <w:numId w:val="28"/>
              </w:numPr>
              <w:spacing w:line="360" w:lineRule="auto"/>
              <w:jc w:val="both"/>
            </w:pPr>
            <w:r>
              <w:rPr>
                <w:rFonts w:ascii="Arial" w:hAnsi="Arial"/>
                <w:b w:val="0"/>
                <w:i w:val="0"/>
                <w:color w:val="000000"/>
                <w:sz w:val="22"/>
              </w:rPr>
              <w:t>Eksekusi whitelist manual wajib disertai pengisian catatan alasan hasil koordinasi investigasi.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Risk Level Filtering Constraint:</w:t>
            </w:r>
            <w:r>
              <w:rPr>
                <w:rFonts w:ascii="Arial" w:hAnsi="Arial"/>
                <w:b w:val="0"/>
                <w:i w:val="0"/>
                <w:color w:val="000000"/>
                <w:sz w:val="22"/>
              </w:rPr>
              <w:t xml:space="preserve"> Menu Suspect Management HANYA menampilkan data transaksi/entitas yang memiliki tingkat risiko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Manual Whitelist Decision Standard:</w:t>
            </w:r>
            <w:r>
              <w:rPr>
                <w:rFonts w:ascii="Arial" w:hAnsi="Arial"/>
                <w:b w:val="0"/>
                <w:i w:val="0"/>
                <w:color w:val="000000"/>
                <w:sz w:val="22"/>
              </w:rPr>
              <w:t xml:space="preserve"> Saat User Bank mengonfirmasi tindakan </w:t>
            </w:r>
            <w:r>
              <w:rPr>
                <w:rFonts w:ascii="Arial" w:hAnsi="Arial"/>
                <w:b/>
                <w:i w:val="0"/>
                <w:color w:val="000000"/>
                <w:sz w:val="22"/>
              </w:rPr>
              <w:t>"Whitelist"</w:t>
            </w:r>
            <w:r>
              <w:rPr>
                <w:rFonts w:ascii="Arial" w:hAnsi="Arial"/>
                <w:b w:val="0"/>
                <w:i w:val="0"/>
                <w:color w:val="000000"/>
                <w:sz w:val="22"/>
              </w:rPr>
              <w:t>, `fds_service` WAJIB mendaftarkan entitas/pengguna tersebut ke daftar *Whitelist* (`whitelist_status = 'WHITELISTED'`), melepaskan penangguhan transaksi secara langsung, dan mencatat `whitelisted_by` serta catatan alasan investigasi.</w:t>
            </w:r>
          </w:p>
          <w:p>
            <w:pPr>
              <w:numPr>
                <w:ilvl w:val="0"/>
                <w:numId w:val="29"/>
              </w:numPr>
              <w:spacing w:line="360" w:lineRule="auto"/>
              <w:jc w:val="both"/>
            </w:pPr>
            <w:r>
              <w:rPr>
                <w:rFonts w:ascii="Arial" w:hAnsi="Arial"/>
                <w:b/>
                <w:i w:val="0"/>
                <w:color w:val="000000"/>
                <w:sz w:val="22"/>
              </w:rPr>
              <w:t>Mandatory Investigation Reason:</w:t>
            </w:r>
            <w:r>
              <w:rPr>
                <w:rFonts w:ascii="Arial" w:hAnsi="Arial"/>
                <w:b w:val="0"/>
                <w:i w:val="0"/>
                <w:color w:val="000000"/>
                <w:sz w:val="22"/>
              </w:rPr>
              <w:t xml:space="preserve"> Pengisian catatan hasil investigasi dan koordinasi lintas divisi bersifat WAJIB sebelum eksekusi whitelist diproses.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whitelist mencatat `suspect_id`, `whitelisted_by` (ID User Bank), catatan investigasi, dan timestamp pada jejak audit internal `fds_service`.</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Investigasi &amp; Whitelist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Suspect Management</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Suspect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List Suspect</w:t>
            </w:r>
          </w:p>
        </w:tc>
        <w:tc>
          <w:tcPr>
            <w:tcW w:type="dxa" w:w="3009"/>
          </w:tcPr>
          <w:p>
            <w:pPr>
              <w:spacing w:line="360" w:lineRule="auto"/>
              <w:jc w:val="both"/>
            </w:pPr>
            <w:r/>
            <w:r>
              <w:rPr>
                <w:rFonts w:ascii="Arial" w:hAnsi="Arial"/>
                <w:b w:val="0"/>
                <w:i w:val="0"/>
                <w:color w:val="000000"/>
                <w:sz w:val="22"/>
              </w:rPr>
              <w:t xml:space="preserve">Sistem menampilkan daftar transaksi suspect yang disaring khusus untuk *risk level*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Detail</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w:t>
            </w:r>
            <w:r>
              <w:rPr>
                <w:rFonts w:ascii="Arial" w:hAnsi="Arial"/>
                <w:b w:val="0"/>
                <w:i w:val="0"/>
                <w:color w:val="000000"/>
                <w:sz w:val="22"/>
              </w:rPr>
              <w:t xml:space="preserve"> pada salah satu baris transaksi suspect terpilih.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Riwayat &amp; Detail Suspect</w:t>
            </w:r>
          </w:p>
        </w:tc>
        <w:tc>
          <w:tcPr>
            <w:tcW w:type="dxa" w:w="3009"/>
          </w:tcPr>
          <w:p>
            <w:pPr>
              <w:spacing w:line="360" w:lineRule="auto"/>
              <w:jc w:val="both"/>
            </w:pPr>
            <w:r/>
            <w:r>
              <w:rPr>
                <w:rFonts w:ascii="Arial" w:hAnsi="Arial"/>
                <w:b w:val="0"/>
                <w:i w:val="0"/>
                <w:color w:val="000000"/>
                <w:sz w:val="22"/>
              </w:rPr>
              <w:t>Sistem menampilkan halaman/modal rincian suspect yang memuat riwayat transaksi, profil entitas, dan parameter aturan fraud ter-trigger.</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Investigasi &amp; Koordinasi Lintas Divisi</w:t>
            </w:r>
          </w:p>
        </w:tc>
        <w:tc>
          <w:tcPr>
            <w:tcW w:type="dxa" w:w="3009"/>
          </w:tcPr>
          <w:p>
            <w:pPr>
              <w:spacing w:line="360" w:lineRule="auto"/>
              <w:jc w:val="both"/>
            </w:pPr>
            <w:r/>
            <w:r>
              <w:rPr>
                <w:rFonts w:ascii="Arial" w:hAnsi="Arial"/>
                <w:b w:val="0"/>
                <w:i w:val="0"/>
                <w:color w:val="000000"/>
                <w:sz w:val="22"/>
              </w:rPr>
              <w:t>User Bank melakukan analisis riwayat transaksi dan berkoordinasi dengan divisi terkait (Compliance/Operations/Legal).</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Memilih Aksisi Whitelist</w:t>
            </w:r>
          </w:p>
        </w:tc>
        <w:tc>
          <w:tcPr>
            <w:tcW w:type="dxa" w:w="3009"/>
          </w:tcPr>
          <w:p>
            <w:pPr>
              <w:spacing w:line="360" w:lineRule="auto"/>
              <w:jc w:val="both"/>
            </w:pPr>
            <w:r/>
            <w:r>
              <w:rPr>
                <w:rFonts w:ascii="Arial" w:hAnsi="Arial"/>
                <w:b w:val="0"/>
                <w:i w:val="0"/>
                <w:color w:val="000000"/>
                <w:sz w:val="22"/>
              </w:rPr>
              <w:t xml:space="preserve">Setelah hasil koordinasi menyatakan aman, User Bank mengklik tombol </w:t>
            </w:r>
            <w:r>
              <w:rPr>
                <w:rFonts w:ascii="Arial" w:hAnsi="Arial"/>
                <w:b/>
                <w:i w:val="0"/>
                <w:color w:val="000000"/>
                <w:sz w:val="22"/>
              </w:rPr>
              <w:t>"Whitelist"</w:t>
            </w:r>
            <w:r>
              <w:rPr>
                <w:rFonts w:ascii="Arial" w:hAnsi="Arial"/>
                <w:b w:val="0"/>
                <w:i w:val="0"/>
                <w:color w:val="000000"/>
                <w:sz w:val="22"/>
              </w:rPr>
              <w:t xml:space="preserve"> pada halaman rincian suspect.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Modal Konfirmasi</w:t>
            </w:r>
          </w:p>
        </w:tc>
        <w:tc>
          <w:tcPr>
            <w:tcW w:type="dxa" w:w="3009"/>
          </w:tcPr>
          <w:p>
            <w:pPr>
              <w:spacing w:line="360" w:lineRule="auto"/>
              <w:jc w:val="both"/>
            </w:pPr>
            <w:r/>
            <w:r>
              <w:rPr>
                <w:rFonts w:ascii="Arial" w:hAnsi="Arial"/>
                <w:b w:val="0"/>
                <w:i w:val="0"/>
                <w:color w:val="000000"/>
                <w:sz w:val="22"/>
              </w:rPr>
              <w:t>Sistem menampilkan modal konfirmasi whitelist yang meminta pengisian catatan hasil investigasi (*whitelist reason*).</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Mengisi Catatan &amp; Konfirmasi</w:t>
            </w:r>
          </w:p>
        </w:tc>
        <w:tc>
          <w:tcPr>
            <w:tcW w:type="dxa" w:w="3009"/>
          </w:tcPr>
          <w:p>
            <w:pPr>
              <w:spacing w:line="360" w:lineRule="auto"/>
              <w:jc w:val="both"/>
            </w:pPr>
            <w:r/>
            <w:r>
              <w:rPr>
                <w:rFonts w:ascii="Arial" w:hAnsi="Arial"/>
                <w:b w:val="0"/>
                <w:i w:val="0"/>
                <w:color w:val="000000"/>
                <w:sz w:val="22"/>
              </w:rPr>
              <w:t xml:space="preserve">User Bank memasukkan catatan hasil investigasi dan mengklik tombol </w:t>
            </w:r>
            <w:r>
              <w:rPr>
                <w:rFonts w:ascii="Arial" w:hAnsi="Arial"/>
                <w:b/>
                <w:i w:val="0"/>
                <w:color w:val="000000"/>
                <w:sz w:val="22"/>
              </w:rPr>
              <w:t>"Konfirmasi Whitelist"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Eksekusi Whitelist di Service FDS</w:t>
            </w:r>
          </w:p>
        </w:tc>
        <w:tc>
          <w:tcPr>
            <w:tcW w:type="dxa" w:w="3009"/>
          </w:tcPr>
          <w:p>
            <w:pPr>
              <w:spacing w:line="360" w:lineRule="auto"/>
              <w:jc w:val="both"/>
            </w:pPr>
            <w:r/>
            <w:r>
              <w:rPr>
                <w:rFonts w:ascii="Arial" w:hAnsi="Arial"/>
                <w:b w:val="0"/>
                <w:i w:val="0"/>
                <w:color w:val="000000"/>
                <w:sz w:val="22"/>
              </w:rPr>
              <w:t>Front-End memvalidasi ketersediaan catatan dan mengirim request whitelist ke API Gateway. Service `fds_service` mendaftarkan entitas ke daftar Whitelist permanen (`whitelist_status = 'WHITELISTED'`), melepaskan penangguhan transaksi, dan menghentikan timer.</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tampilan status suspect dan menyajikan notifikasi bahwa entitas telah berhasil didaftarkan ke daftar Whitelist.</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investigasi dan tindakan whitelist suspect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Investigasi &amp; Whitelist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Catatan Hasil Investigasi Whitelist Kosong</w:t>
            </w:r>
          </w:p>
        </w:tc>
        <w:tc>
          <w:tcPr>
            <w:tcW w:type="dxa" w:w="3009"/>
          </w:tcPr>
          <w:p>
            <w:pPr>
              <w:spacing w:line="360" w:lineRule="auto"/>
              <w:jc w:val="both"/>
            </w:pPr>
            <w:r/>
            <w:r>
              <w:rPr>
                <w:rFonts w:ascii="Arial" w:hAnsi="Arial"/>
                <w:b w:val="0"/>
                <w:i w:val="0"/>
                <w:color w:val="000000"/>
                <w:sz w:val="22"/>
              </w:rPr>
              <w:t>Pada langkah 9-10, apabila User Bank mengosongkan textarea catatan hasil investigasi, Sistem menolak request dan Front-End menampilkan `Catatan hasil investigasi whitelist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10, apabila `fds_service` mengalami kendala koneksi atau timeout, API Gateway mengembalikan HTTP 500/504 dan Front-End menampilkan `Gagal memproses eksekusi whitelist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Investigasi &amp; Whitelist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Suspect Management menyajikan daftar transaksi `MEDIUM_RISK` dan `HIGH_RISK` serta modal rincian siap ditinjau.</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saat mengunduh riwayat rincian transaksi atau memproses konfirmasi whitelist.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entitas berhasil dimasukkan ke daftar Whitelist.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catatan kosong atau gangguan server.</w:t>
            </w:r>
          </w:p>
        </w:tc>
      </w:tr>
    </w:tbl>
    <w:p>
      <w:pPr>
        <w:spacing w:line="360" w:lineRule="auto"/>
        <w:jc w:val="both"/>
      </w:pPr>
    </w:p>
    <w:p>
      <w:pPr>
        <w:pStyle w:val="Heading5"/>
      </w:pPr>
      <w:r>
        <w:rPr>
          <w:rFonts w:ascii="Arial" w:hAnsi="Arial"/>
          <w:b w:val="0"/>
          <w:i w:val="0"/>
          <w:color w:val="000000"/>
          <w:sz w:val="22"/>
        </w:rPr>
        <w:t>Activity Diagram Investigasi &amp; Whitelist Suspect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52077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3520776"/>
                    </a:xfrm>
                    <a:prstGeom prst="rect"/>
                  </pic:spPr>
                </pic:pic>
              </a:graphicData>
            </a:graphic>
          </wp:inline>
        </w:drawing>
      </w:r>
    </w:p>
    <w:p>
      <w:pPr>
        <w:pStyle w:val="Heading5"/>
      </w:pPr>
      <w:r>
        <w:rPr>
          <w:rFonts w:ascii="Arial" w:hAnsi="Arial"/>
          <w:b w:val="0"/>
          <w:i w:val="0"/>
          <w:color w:val="000000"/>
          <w:sz w:val="22"/>
        </w:rPr>
        <w:t>Sequence Diagram Investigasi &amp; Whitelist Suspect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9495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69495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Investigasi &amp; Whitelist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SUCCESS_WHITELIST_SUSPECT</w:t>
            </w:r>
          </w:p>
        </w:tc>
        <w:tc>
          <w:tcPr>
            <w:tcW w:type="dxa" w:w="1504"/>
          </w:tcPr>
          <w:p>
            <w:pPr>
              <w:spacing w:line="360" w:lineRule="auto"/>
              <w:jc w:val="both"/>
            </w:pPr>
            <w:r/>
            <w:r>
              <w:rPr>
                <w:rFonts w:ascii="Arial" w:hAnsi="Arial"/>
                <w:b w:val="0"/>
                <w:i w:val="0"/>
                <w:color w:val="000000"/>
                <w:sz w:val="22"/>
              </w:rPr>
              <w:t>Entitas/transaksi suspect berhasil didaftarkan ke daftar *Whitelist* pada `fds_service` dan penangguhan dilepaskan.</w:t>
            </w:r>
          </w:p>
        </w:tc>
        <w:tc>
          <w:tcPr>
            <w:tcW w:type="dxa" w:w="1504"/>
          </w:tcPr>
          <w:p>
            <w:pPr>
              <w:spacing w:line="360" w:lineRule="auto"/>
              <w:jc w:val="both"/>
            </w:pPr>
            <w:r/>
            <w:r>
              <w:rPr>
                <w:rFonts w:ascii="Arial" w:hAnsi="Arial"/>
                <w:b w:val="0"/>
                <w:i w:val="0"/>
                <w:color w:val="000000"/>
                <w:sz w:val="22"/>
              </w:rPr>
              <w:t>Menampilkan pesan notifikasi sukses dan memperbarui status pada UI.</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INVALID_INVESTIGATION_NOTES</w:t>
            </w:r>
          </w:p>
        </w:tc>
        <w:tc>
          <w:tcPr>
            <w:tcW w:type="dxa" w:w="1504"/>
          </w:tcPr>
          <w:p>
            <w:pPr>
              <w:spacing w:line="360" w:lineRule="auto"/>
              <w:jc w:val="both"/>
            </w:pPr>
            <w:r/>
            <w:r>
              <w:rPr>
                <w:rFonts w:ascii="Arial" w:hAnsi="Arial"/>
                <w:b w:val="0"/>
                <w:i w:val="0"/>
                <w:color w:val="000000"/>
                <w:sz w:val="22"/>
              </w:rPr>
              <w:t>Catatan hasil investigasi whitelist yang dimasukkan tidak valid atau kosong.</w:t>
            </w:r>
          </w:p>
        </w:tc>
        <w:tc>
          <w:tcPr>
            <w:tcW w:type="dxa" w:w="1504"/>
          </w:tcPr>
          <w:p>
            <w:pPr>
              <w:spacing w:line="360" w:lineRule="auto"/>
              <w:jc w:val="both"/>
            </w:pPr>
            <w:r/>
            <w:r>
              <w:rPr>
                <w:rFonts w:ascii="Arial" w:hAnsi="Arial"/>
                <w:b w:val="0"/>
                <w:i w:val="0"/>
                <w:color w:val="000000"/>
                <w:sz w:val="22"/>
              </w:rPr>
              <w:t>Menampilkan pesan kesalahan `Catatan hasil investigasi whitelist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SUSPECT_NOT_FOUND</w:t>
            </w:r>
          </w:p>
        </w:tc>
        <w:tc>
          <w:tcPr>
            <w:tcW w:type="dxa" w:w="1504"/>
          </w:tcPr>
          <w:p>
            <w:pPr>
              <w:spacing w:line="360" w:lineRule="auto"/>
              <w:jc w:val="both"/>
            </w:pPr>
            <w:r/>
            <w:r>
              <w:rPr>
                <w:rFonts w:ascii="Arial" w:hAnsi="Arial"/>
                <w:b w:val="0"/>
                <w:i w:val="0"/>
                <w:color w:val="000000"/>
                <w:sz w:val="22"/>
              </w:rPr>
              <w:t>Data suspect yang akan ditindaklanjuti tidak ditemukan pada `fds_service`.</w:t>
            </w:r>
          </w:p>
        </w:tc>
        <w:tc>
          <w:tcPr>
            <w:tcW w:type="dxa" w:w="1504"/>
          </w:tcPr>
          <w:p>
            <w:pPr>
              <w:spacing w:line="360" w:lineRule="auto"/>
              <w:jc w:val="both"/>
            </w:pPr>
            <w:r/>
            <w:r>
              <w:rPr>
                <w:rFonts w:ascii="Arial" w:hAnsi="Arial"/>
                <w:b w:val="0"/>
                <w:i w:val="0"/>
                <w:color w:val="000000"/>
                <w:sz w:val="22"/>
              </w:rPr>
              <w:t>Menampilkan pesan kesalahan `Data suspect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pendaftaran whitelist.</w:t>
            </w:r>
          </w:p>
        </w:tc>
        <w:tc>
          <w:tcPr>
            <w:tcW w:type="dxa" w:w="1504"/>
          </w:tcPr>
          <w:p>
            <w:pPr>
              <w:spacing w:line="360" w:lineRule="auto"/>
              <w:jc w:val="both"/>
            </w:pPr>
            <w:r/>
            <w:r>
              <w:rPr>
                <w:rFonts w:ascii="Arial" w:hAnsi="Arial"/>
                <w:b w:val="0"/>
                <w:i w:val="0"/>
                <w:color w:val="000000"/>
                <w:sz w:val="22"/>
              </w:rPr>
              <w:t>Menampilkan pesan kesalahan `Gagal memproses eksekusi whitelist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Investigasi &amp; Whitelist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Suspect Management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Risk Level:</w:t>
            </w:r>
            <w:r>
              <w:rPr>
                <w:rFonts w:ascii="Arial" w:hAnsi="Arial"/>
                <w:b w:val="0"/>
                <w:i w:val="0"/>
                <w:color w:val="000000"/>
                <w:sz w:val="22"/>
              </w:rPr>
              <w:t xml:space="preserve"> Filter terkunci/terpilih khusus `MEDIUM_RISK` dan `HIGH_RISK`.&lt;br&gt;2. </w:t>
            </w:r>
            <w:r>
              <w:rPr>
                <w:rFonts w:ascii="Arial" w:hAnsi="Arial"/>
                <w:b/>
                <w:i w:val="0"/>
                <w:color w:val="000000"/>
                <w:sz w:val="22"/>
              </w:rPr>
              <w:t>Tabel Suspect List:</w:t>
            </w:r>
            <w:r>
              <w:rPr>
                <w:rFonts w:ascii="Arial" w:hAnsi="Arial"/>
                <w:b w:val="0"/>
                <w:i w:val="0"/>
                <w:color w:val="000000"/>
                <w:sz w:val="22"/>
              </w:rPr>
              <w:t xml:space="preserve"> Kolom ID Suspect, Tanggal/Waktu, Entity Name/MID, Skor Risk, </w:t>
            </w:r>
            <w:r>
              <w:rPr>
                <w:rFonts w:ascii="Arial" w:hAnsi="Arial"/>
                <w:b/>
                <w:i w:val="0"/>
                <w:color w:val="000000"/>
                <w:sz w:val="22"/>
              </w:rPr>
              <w:t>Risk Level</w:t>
            </w:r>
            <w:r>
              <w:rPr>
                <w:rFonts w:ascii="Arial" w:hAnsi="Arial"/>
                <w:b w:val="0"/>
                <w:i w:val="0"/>
                <w:color w:val="000000"/>
                <w:sz w:val="22"/>
              </w:rPr>
              <w:t xml:space="preserve"> (`MEDIUM_RISK` / `HIGH_RISK`), Timer Penangguhan, dan Tombol Aksi </w:t>
            </w:r>
            <w:r>
              <w:rPr>
                <w:rFonts w:ascii="Arial" w:hAnsi="Arial"/>
                <w:b/>
                <w:i w:val="0"/>
                <w:color w:val="000000"/>
                <w:sz w:val="22"/>
              </w:rPr>
              <w:t>"Detail"</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&amp; Riwayat Transaksi Suspect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Info Profil &amp; Risk Badge:</w:t>
            </w:r>
            <w:r>
              <w:rPr>
                <w:rFonts w:ascii="Arial" w:hAnsi="Arial"/>
                <w:b w:val="0"/>
                <w:i w:val="0"/>
                <w:color w:val="000000"/>
                <w:sz w:val="22"/>
              </w:rPr>
              <w:t xml:space="preserve"> Rincian entitas beserta status *risk level*.&lt;br&gt;2. </w:t>
            </w:r>
            <w:r>
              <w:rPr>
                <w:rFonts w:ascii="Arial" w:hAnsi="Arial"/>
                <w:b/>
                <w:i w:val="0"/>
                <w:color w:val="000000"/>
                <w:sz w:val="22"/>
              </w:rPr>
              <w:t>Aturan FDS Ter-trigger:</w:t>
            </w:r>
            <w:r>
              <w:rPr>
                <w:rFonts w:ascii="Arial" w:hAnsi="Arial"/>
                <w:b w:val="0"/>
                <w:i w:val="0"/>
                <w:color w:val="000000"/>
                <w:sz w:val="22"/>
              </w:rPr>
              <w:t xml:space="preserve"> List kriteria/rule fraud yang dilanggar.&lt;br&gt;3. </w:t>
            </w:r>
            <w:r>
              <w:rPr>
                <w:rFonts w:ascii="Arial" w:hAnsi="Arial"/>
                <w:b/>
                <w:i w:val="0"/>
                <w:color w:val="000000"/>
                <w:sz w:val="22"/>
              </w:rPr>
              <w:t>Tabel Riwayat Transaksi:</w:t>
            </w:r>
            <w:r>
              <w:rPr>
                <w:rFonts w:ascii="Arial" w:hAnsi="Arial"/>
                <w:b w:val="0"/>
                <w:i w:val="0"/>
                <w:color w:val="000000"/>
                <w:sz w:val="22"/>
              </w:rPr>
              <w:t xml:space="preserve"> Riwayat transaksi historis entitas untuk bahan investigasi.&lt;br&gt;4. </w:t>
            </w:r>
            <w:r>
              <w:rPr>
                <w:rFonts w:ascii="Arial" w:hAnsi="Arial"/>
                <w:b/>
                <w:i w:val="0"/>
                <w:color w:val="000000"/>
                <w:sz w:val="22"/>
              </w:rPr>
              <w:t>Indikator Timer Penangguhan:</w:t>
            </w:r>
            <w:r>
              <w:rPr>
                <w:rFonts w:ascii="Arial" w:hAnsi="Arial"/>
                <w:b w:val="0"/>
                <w:i w:val="0"/>
                <w:color w:val="000000"/>
                <w:sz w:val="22"/>
              </w:rPr>
              <w:t xml:space="preserve"> Countdown durasi *auto-release* `fds_service`.&lt;br&gt;5.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"Whitelist"</w:t>
            </w:r>
            <w:r>
              <w:rPr>
                <w:rFonts w:ascii="Arial" w:hAnsi="Arial"/>
                <w:b w:val="0"/>
                <w:i w:val="0"/>
                <w:color w:val="000000"/>
                <w:sz w:val="22"/>
              </w:rPr>
              <w:t xml:space="preserve"> (Primary Green/Blue), </w:t>
            </w:r>
            <w:r>
              <w:rPr>
                <w:rFonts w:ascii="Arial" w:hAnsi="Arial"/>
                <w:b/>
                <w:i w:val="0"/>
                <w:color w:val="000000"/>
                <w:sz w:val="22"/>
              </w:rPr>
              <w:t>"Blacklist"</w:t>
            </w:r>
            <w:r>
              <w:rPr>
                <w:rFonts w:ascii="Arial" w:hAnsi="Arial"/>
                <w:b w:val="0"/>
                <w:i w:val="0"/>
                <w:color w:val="000000"/>
                <w:sz w:val="22"/>
              </w:rPr>
              <w:t xml:space="preserve"> (Secondary Red), dan </w:t>
            </w:r>
            <w:r>
              <w:rPr>
                <w:rFonts w:ascii="Arial" w:hAnsi="Arial"/>
                <w:b/>
                <w:i w:val="0"/>
                <w:color w:val="000000"/>
                <w:sz w:val="22"/>
              </w:rPr>
              <w:t>"Kembali"</w:t>
            </w:r>
            <w:r>
              <w:rPr>
                <w:rFonts w:ascii="Arial" w:hAnsi="Arial"/>
                <w:b w:val="0"/>
                <w:i w:val="0"/>
                <w:color w:val="000000"/>
                <w:sz w:val="22"/>
              </w:rPr>
              <w:t xml:space="preserve"> (Secondary).</w:t>
            </w:r>
          </w:p>
        </w:tc>
      </w:tr>
      <w:tr>
        <w:trPr>
          <w:cantSplit/>
        </w:trPr>
        <w:tc>
          <w:tcPr>
            <w:tcW w:type="dxa" w:w="4513"/>
          </w:tcPr>
          <w:p>
            <w:pPr>
              <w:spacing w:line="360" w:lineRule="auto"/>
              <w:jc w:val="both"/>
            </w:pPr>
            <w:r/>
            <w:r>
              <w:rPr>
                <w:rFonts w:ascii="Arial" w:hAnsi="Arial"/>
                <w:b w:val="0"/>
                <w:i w:val="0"/>
                <w:color w:val="000000"/>
                <w:sz w:val="22"/>
              </w:rPr>
              <w:t>Modal Konfirmasi Whitelist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Informasi:</w:t>
            </w:r>
            <w:r>
              <w:rPr>
                <w:rFonts w:ascii="Arial" w:hAnsi="Arial"/>
                <w:b w:val="0"/>
                <w:i w:val="0"/>
                <w:color w:val="000000"/>
                <w:sz w:val="22"/>
              </w:rPr>
              <w:t xml:space="preserve"> Judul konfirmasi pendaftaran whitelist entitas.&lt;br&gt;2. </w:t>
            </w:r>
            <w:r>
              <w:rPr>
                <w:rFonts w:ascii="Arial" w:hAnsi="Arial"/>
                <w:b/>
                <w:i w:val="0"/>
                <w:color w:val="000000"/>
                <w:sz w:val="22"/>
              </w:rPr>
              <w:t>Info Suspect:</w:t>
            </w:r>
            <w:r>
              <w:rPr>
                <w:rFonts w:ascii="Arial" w:hAnsi="Arial"/>
                <w:b w:val="0"/>
                <w:i w:val="0"/>
                <w:color w:val="000000"/>
                <w:sz w:val="22"/>
              </w:rPr>
              <w:t xml:space="preserve"> Menampilkan ID Suspect dan Nama Entitas.&lt;br&gt;3. </w:t>
            </w:r>
            <w:r>
              <w:rPr>
                <w:rFonts w:ascii="Arial" w:hAnsi="Arial"/>
                <w:b/>
                <w:i w:val="0"/>
                <w:color w:val="000000"/>
                <w:sz w:val="22"/>
              </w:rPr>
              <w:t>Textarea Catatan Investigasi:</w:t>
            </w:r>
            <w:r>
              <w:rPr>
                <w:rFonts w:ascii="Arial" w:hAnsi="Arial"/>
                <w:b w:val="0"/>
                <w:i w:val="0"/>
                <w:color w:val="000000"/>
                <w:sz w:val="22"/>
              </w:rPr>
              <w:t xml:space="preserve"> Input wajib rincian hasil investigasi &amp; koordinasi lintas divisi.&lt;br&gt;4.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Whitelist"</w:t>
            </w:r>
            <w:r>
              <w:rPr>
                <w:rFonts w:ascii="Arial" w:hAnsi="Arial"/>
                <w:b w:val="0"/>
                <w:i w:val="0"/>
                <w:color w:val="000000"/>
                <w:sz w:val="22"/>
              </w:rPr>
              <w:t xml:space="preserve"> (Primary Green/Blue)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