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Menampilkan Monitoring Disbursement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Menampilkan Monitoring Disbursement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memungkinkan User Bank memantau status eksekusi pencairan dana (*disbursement*) ke rekening merchant secara real-time dari tabel `disbursements` dan `disbursement_details` menggunakan Disbursement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Finance / Operations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Disbursement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Disbursement &amp; Pencairan</w:t>
            </w:r>
            <w:r>
              <w:rPr>
                <w:rFonts w:ascii="Arial" w:hAnsi="Arial"/>
                <w:b w:val="0"/>
                <w:i w:val="0"/>
                <w:color w:val="000000"/>
                <w:sz w:val="22"/>
              </w:rPr>
              <w:t xml:space="preserve"> -&gt; </w:t>
            </w:r>
            <w:r>
              <w:rPr>
                <w:rFonts w:ascii="Arial" w:hAnsi="Arial"/>
                <w:b/>
                <w:i w:val="0"/>
                <w:color w:val="000000"/>
                <w:sz w:val="22"/>
              </w:rPr>
              <w:t>Monitoring Disbursement</w:t>
            </w:r>
            <w:r>
              <w:rPr>
                <w:rFonts w:ascii="Arial" w:hAnsi="Arial"/>
                <w:b w:val="0"/>
                <w:i w:val="0"/>
                <w:color w:val="000000"/>
                <w:sz w:val="22"/>
              </w:rPr>
              <w:t xml:space="preserve">. Front-End mengirimkan request ke API Gateway untuk memuat daftar pencairan dana merchant dengan filter default </w:t>
            </w:r>
            <w:r>
              <w:rPr>
                <w:rFonts w:ascii="Arial" w:hAnsi="Arial"/>
                <w:b/>
                <w:i w:val="0"/>
                <w:color w:val="000000"/>
                <w:sz w:val="22"/>
              </w:rPr>
              <w:t>1 Bulan Terakhir</w:t>
            </w:r>
            <w:r>
              <w:rPr>
                <w:rFonts w:ascii="Arial" w:hAnsi="Arial"/>
                <w:b w:val="0"/>
                <w:i w:val="0"/>
                <w:color w:val="000000"/>
                <w:sz w:val="22"/>
              </w:rPr>
              <w:t xml:space="preserve">. Sistem memfasilitasi Pilihan Filter Preset mencakup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(Periode Default), dan </w:t>
            </w:r>
            <w:r>
              <w:rPr>
                <w:rFonts w:ascii="Arial" w:hAnsi="Arial"/>
                <w:b/>
                <w:i w:val="0"/>
                <w:color w:val="000000"/>
                <w:sz w:val="22"/>
              </w:rPr>
              <w:t>1 Tahun Terakhir</w:t>
            </w:r>
            <w:r>
              <w:rPr>
                <w:rFonts w:ascii="Arial" w:hAnsi="Arial"/>
                <w:b w:val="0"/>
                <w:i w:val="0"/>
                <w:color w:val="000000"/>
                <w:sz w:val="22"/>
              </w:rPr>
              <w:t xml:space="preserve">, serta pencarian kustom berdasarkan Merchant ID (MID), Nama Merchant, Nomor Referensi, dan Status Disbursement (`SUCCESS`, `PENDING`, `PROCESSING`, `FAILED`). Disbursement Service melakukan kueri ke tabel </w:t>
            </w:r>
            <w:r>
              <w:rPr>
                <w:rFonts w:ascii="Arial" w:hAnsi="Arial"/>
                <w:b/>
                <w:i w:val="0"/>
                <w:color w:val="000000"/>
                <w:sz w:val="22"/>
              </w:rPr>
              <w:t>`disbursements`</w:t>
            </w:r>
            <w:r>
              <w:rPr>
                <w:rFonts w:ascii="Arial" w:hAnsi="Arial"/>
                <w:b w:val="0"/>
                <w:i w:val="0"/>
                <w:color w:val="000000"/>
                <w:sz w:val="22"/>
              </w:rPr>
              <w:t xml:space="preserve"> untuk mengambil data Batch ID, MID, Nama Merchant, Rekening Tujuan, Total Nominal Disbursement, Biaya Transfer, Status Pencairan, dan Timestamp Transfer Core Banking. Front-End menampilkan data dalam tabel interaktif beserta tombol </w:t>
            </w:r>
            <w:r>
              <w:rPr>
                <w:rFonts w:ascii="Arial" w:hAnsi="Arial"/>
                <w:b/>
                <w:i w:val="0"/>
                <w:color w:val="000000"/>
                <w:sz w:val="22"/>
              </w:rPr>
              <w:t>"Detail"</w:t>
            </w:r>
            <w:r>
              <w:rPr>
                <w:rFonts w:ascii="Arial" w:hAnsi="Arial"/>
                <w:b w:val="0"/>
                <w:i w:val="0"/>
                <w:color w:val="000000"/>
                <w:sz w:val="22"/>
              </w:rPr>
              <w:t xml:space="preserve">. Saat User Bank mengklik </w:t>
            </w:r>
            <w:r>
              <w:rPr>
                <w:rFonts w:ascii="Arial" w:hAnsi="Arial"/>
                <w:b/>
                <w:i w:val="0"/>
                <w:color w:val="000000"/>
                <w:sz w:val="22"/>
              </w:rPr>
              <w:t>"Detail"</w:t>
            </w:r>
            <w:r>
              <w:rPr>
                <w:rFonts w:ascii="Arial" w:hAnsi="Arial"/>
                <w:b w:val="0"/>
                <w:i w:val="0"/>
                <w:color w:val="000000"/>
                <w:sz w:val="22"/>
              </w:rPr>
              <w:t xml:space="preserve">, Disbursement Service melakukan kueri rincian item ke tabel </w:t>
            </w:r>
            <w:r>
              <w:rPr>
                <w:rFonts w:ascii="Arial" w:hAnsi="Arial"/>
                <w:b/>
                <w:i w:val="0"/>
                <w:color w:val="000000"/>
                <w:sz w:val="22"/>
              </w:rPr>
              <w:t>`disbursement_details`</w:t>
            </w:r>
            <w:r>
              <w:rPr>
                <w:rFonts w:ascii="Arial" w:hAnsi="Arial"/>
                <w:b w:val="0"/>
                <w:i w:val="0"/>
                <w:color w:val="000000"/>
                <w:sz w:val="22"/>
              </w:rPr>
              <w:t xml:space="preserve"> dan Front-End menyajikan modal rincian transaksi per item secara lengkap.</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spacing w:line="360" w:lineRule="auto"/>
              <w:jc w:val="both"/>
            </w:pPr>
            <w:r/>
            <w:r>
              <w:rPr>
                <w:rFonts w:ascii="Arial" w:hAnsi="Arial"/>
                <w:b w:val="0"/>
                <w:i w:val="0"/>
                <w:color w:val="000000"/>
                <w:sz w:val="22"/>
              </w:rPr>
              <w:t>User Bank telah berhasil login SSO ke Web Back Office Hibank dan memiliki kewenangan peran *Disbursement Monitoring Staff*.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spacing w:line="360" w:lineRule="auto"/>
              <w:jc w:val="both"/>
            </w:pPr>
            <w:r/>
            <w:r>
              <w:rPr>
                <w:rFonts w:ascii="Arial" w:hAnsi="Arial"/>
                <w:b w:val="0"/>
                <w:i w:val="0"/>
                <w:color w:val="000000"/>
                <w:sz w:val="22"/>
              </w:rPr>
              <w:t>Front-End berhasil menyajikan tabel daftar transaksi pencairan dana merchant dan rincian itemized dari `disbursement_details` secara lengkap.</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User Bank mengakses menu Monitoring Disbursement atau memasukkan kriteria filter preset / pencarian data pencairan dana pada Web Back Office.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disbursements, disbursement_details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4"/>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tabel monitoring pencairan dana merchant beserta komponen filter preset dan modal detail.</w:t>
            </w:r>
          </w:p>
          <w:p>
            <w:pPr>
              <w:numPr>
                <w:ilvl w:val="0"/>
                <w:numId w:val="24"/>
              </w:numPr>
              <w:spacing w:line="360" w:lineRule="auto"/>
              <w:jc w:val="both"/>
            </w:pPr>
            <w:r>
              <w:rPr>
                <w:rFonts w:ascii="Arial" w:hAnsi="Arial"/>
                <w:b/>
                <w:i w:val="0"/>
                <w:color w:val="000000"/>
                <w:sz w:val="22"/>
              </w:rPr>
              <w:t>Disbursement Service:</w:t>
            </w:r>
            <w:r>
              <w:rPr>
                <w:rFonts w:ascii="Arial" w:hAnsi="Arial"/>
                <w:b w:val="0"/>
                <w:i w:val="0"/>
                <w:color w:val="000000"/>
                <w:sz w:val="22"/>
              </w:rPr>
              <w:t xml:space="preserve"> Microservice backend pengelola transaksi pencairan dana ke rekening merchant.</w:t>
            </w:r>
          </w:p>
          <w:p>
            <w:pPr>
              <w:numPr>
                <w:ilvl w:val="0"/>
                <w:numId w:val="24"/>
              </w:numPr>
              <w:spacing w:line="360" w:lineRule="auto"/>
              <w:jc w:val="both"/>
            </w:pPr>
            <w:r>
              <w:rPr>
                <w:rFonts w:ascii="Arial" w:hAnsi="Arial"/>
                <w:b/>
                <w:i w:val="0"/>
                <w:color w:val="000000"/>
                <w:sz w:val="22"/>
              </w:rPr>
              <w:t>QRIS Database:</w:t>
            </w:r>
            <w:r>
              <w:rPr>
                <w:rFonts w:ascii="Arial" w:hAnsi="Arial"/>
                <w:b w:val="0"/>
                <w:i w:val="0"/>
                <w:color w:val="000000"/>
                <w:sz w:val="22"/>
              </w:rPr>
              <w:t xml:space="preserve"> Penyimpanan data header pencairan (`disbursements`) dan rincian itemized pencairan (`disbursement_details`).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5"/>
              </w:numPr>
              <w:spacing w:line="360" w:lineRule="auto"/>
              <w:jc w:val="both"/>
            </w:pPr>
            <w:r/>
            <w:r>
              <w:rPr>
                <w:rFonts w:ascii="Arial" w:hAnsi="Arial"/>
                <w:b w:val="0"/>
                <w:i w:val="0"/>
                <w:color w:val="000000"/>
                <w:sz w:val="22"/>
              </w:rPr>
              <w:t>Data eksekusi pencairan dana pada tabel `disbursements` dan `disbursement_details` diperbarui secara real-time oleh Disbursement Service setelah instruksi transfer diselesaikan oleh Core Banking.</w:t>
            </w:r>
          </w:p>
          <w:p>
            <w:pPr>
              <w:numPr>
                <w:ilvl w:val="0"/>
                <w:numId w:val="25"/>
              </w:numPr>
              <w:spacing w:line="360" w:lineRule="auto"/>
              <w:jc w:val="both"/>
            </w:pPr>
            <w:r>
              <w:rPr>
                <w:rFonts w:ascii="Arial" w:hAnsi="Arial"/>
                <w:b w:val="0"/>
                <w:i w:val="0"/>
                <w:color w:val="000000"/>
                <w:sz w:val="22"/>
              </w:rPr>
              <w:t>Halaman monitoring menggunakan metode pembagian halaman (*pagination*) untuk menjaga performa muat data.</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6"/>
              </w:numPr>
              <w:spacing w:line="360" w:lineRule="auto"/>
              <w:jc w:val="both"/>
            </w:pPr>
            <w:r/>
            <w:r>
              <w:rPr>
                <w:rFonts w:ascii="Arial" w:hAnsi="Arial"/>
                <w:b w:val="0"/>
                <w:i w:val="0"/>
                <w:color w:val="000000"/>
                <w:sz w:val="22"/>
              </w:rPr>
              <w:t>Pemantauan disbursement pada use case ini bersifat read-only (hanya memantau status pencairan yang dieksekusi).</w:t>
            </w:r>
          </w:p>
          <w:p>
            <w:pPr>
              <w:numPr>
                <w:ilvl w:val="0"/>
                <w:numId w:val="26"/>
              </w:numPr>
              <w:spacing w:line="360" w:lineRule="auto"/>
              <w:jc w:val="both"/>
            </w:pPr>
            <w:r>
              <w:rPr>
                <w:rFonts w:ascii="Arial" w:hAnsi="Arial"/>
                <w:b w:val="0"/>
                <w:i w:val="0"/>
                <w:color w:val="000000"/>
                <w:sz w:val="22"/>
              </w:rPr>
              <w:t>Filter preset rentang waktu acuan membatasi kueri maksimum 1 tahun terakhir untuk menjaga performa sistem.</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7"/>
              </w:numPr>
              <w:spacing w:line="360" w:lineRule="auto"/>
              <w:jc w:val="both"/>
            </w:pPr>
            <w:r/>
            <w:r>
              <w:rPr>
                <w:rFonts w:ascii="Arial" w:hAnsi="Arial"/>
                <w:b/>
                <w:i w:val="0"/>
                <w:color w:val="000000"/>
                <w:sz w:val="22"/>
              </w:rPr>
              <w:t>Preset Period Filter Standard:</w:t>
            </w:r>
            <w:r>
              <w:rPr>
                <w:rFonts w:ascii="Arial" w:hAnsi="Arial"/>
                <w:b w:val="0"/>
                <w:i w:val="0"/>
                <w:color w:val="000000"/>
                <w:sz w:val="22"/>
              </w:rPr>
              <w:t xml:space="preserve"> Sistem WAJIB menyediakan 4 opsi filter preset acuan: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data pencairan untuk hari berjalan.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data pencairan 7 hari ke belakang.</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data pencairan 30 hari ke belakang (periode default).</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data pencairan 365 hari ke belakang.</w:t>
            </w:r>
          </w:p>
          <w:p>
            <w:pPr>
              <w:numPr>
                <w:ilvl w:val="0"/>
                <w:numId w:val="27"/>
              </w:numPr>
              <w:spacing w:line="360" w:lineRule="auto"/>
              <w:jc w:val="both"/>
            </w:pPr>
            <w:r>
              <w:rPr>
                <w:rFonts w:ascii="Arial" w:hAnsi="Arial"/>
                <w:b/>
                <w:i w:val="0"/>
                <w:color w:val="000000"/>
                <w:sz w:val="22"/>
              </w:rPr>
              <w:t>Disbursement Itemized Details Association:</w:t>
            </w:r>
            <w:r>
              <w:rPr>
                <w:rFonts w:ascii="Arial" w:hAnsi="Arial"/>
                <w:b w:val="0"/>
                <w:i w:val="0"/>
                <w:color w:val="000000"/>
                <w:sz w:val="22"/>
              </w:rPr>
              <w:t xml:space="preserve"> Setiap baris rincian pada modal detail WAJIB mengambil data dari `disbursement_details` yang terhubung via `disbursement_id`.</w:t>
            </w:r>
          </w:p>
          <w:p>
            <w:pPr>
              <w:numPr>
                <w:ilvl w:val="0"/>
                <w:numId w:val="27"/>
              </w:numPr>
              <w:spacing w:line="360" w:lineRule="auto"/>
              <w:jc w:val="both"/>
            </w:pPr>
            <w:r>
              <w:rPr>
                <w:rFonts w:ascii="Arial" w:hAnsi="Arial"/>
                <w:b/>
                <w:i w:val="0"/>
                <w:color w:val="000000"/>
                <w:sz w:val="22"/>
              </w:rPr>
              <w:t>Real-time Status Display:</w:t>
            </w:r>
            <w:r>
              <w:rPr>
                <w:rFonts w:ascii="Arial" w:hAnsi="Arial"/>
                <w:b w:val="0"/>
                <w:i w:val="0"/>
                <w:color w:val="000000"/>
                <w:sz w:val="22"/>
              </w:rPr>
              <w:t xml:space="preserve"> Status pencairan diselaraskan dengan enum resmi (`SUCCESS`, `PENDING`, `PROCESSING`, `FAILED`).</w:t>
            </w:r>
          </w:p>
          <w:p>
            <w:pPr>
              <w:numPr>
                <w:ilvl w:val="0"/>
                <w:numId w:val="27"/>
              </w:numPr>
              <w:spacing w:line="360" w:lineRule="auto"/>
              <w:jc w:val="both"/>
            </w:pPr>
            <w:r>
              <w:rPr>
                <w:rFonts w:ascii="Arial" w:hAnsi="Arial"/>
                <w:b/>
                <w:i w:val="0"/>
                <w:color w:val="000000"/>
                <w:sz w:val="22"/>
              </w:rPr>
              <w:t>Pagination Standard:</w:t>
            </w:r>
            <w:r>
              <w:rPr>
                <w:rFonts w:ascii="Arial" w:hAnsi="Arial"/>
                <w:b w:val="0"/>
                <w:i w:val="0"/>
                <w:color w:val="000000"/>
                <w:sz w:val="22"/>
              </w:rPr>
              <w:t xml:space="preserve"> Daftar pencairan dana wajib ditampilkan dengan pagination (default 10 atau 25 data per halaman).</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Monitoring Disbursement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Disbursement &amp; Pencairan</w:t>
            </w:r>
            <w:r>
              <w:rPr>
                <w:rFonts w:ascii="Arial" w:hAnsi="Arial"/>
                <w:b w:val="0"/>
                <w:i w:val="0"/>
                <w:color w:val="000000"/>
                <w:sz w:val="22"/>
              </w:rPr>
              <w:t xml:space="preserve"> -&gt; </w:t>
            </w:r>
            <w:r>
              <w:rPr>
                <w:rFonts w:ascii="Arial" w:hAnsi="Arial"/>
                <w:b/>
                <w:i w:val="0"/>
                <w:color w:val="000000"/>
                <w:sz w:val="22"/>
              </w:rPr>
              <w:t>Monitoring Disbursement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Mengirim Request Daftar Disbursement</w:t>
            </w:r>
          </w:p>
        </w:tc>
        <w:tc>
          <w:tcPr>
            <w:tcW w:type="dxa" w:w="3009"/>
          </w:tcPr>
          <w:p>
            <w:pPr>
              <w:spacing w:line="360" w:lineRule="auto"/>
              <w:jc w:val="both"/>
            </w:pPr>
            <w:r/>
            <w:r>
              <w:rPr>
                <w:rFonts w:ascii="Arial" w:hAnsi="Arial"/>
                <w:b w:val="0"/>
                <w:i w:val="0"/>
                <w:color w:val="000000"/>
                <w:sz w:val="22"/>
              </w:rPr>
              <w:t xml:space="preserve">Front-End mengirimkan request ke API Gateway untuk mengambil data pencairan dana merchant terbaru dengan filter default </w:t>
            </w:r>
            <w:r>
              <w:rPr>
                <w:rFonts w:ascii="Arial" w:hAnsi="Arial"/>
                <w:b/>
                <w:i w:val="0"/>
                <w:color w:val="000000"/>
                <w:sz w:val="22"/>
              </w:rPr>
              <w:t>1 Bulan Terakhir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Query Data Header Disbursement</w:t>
            </w:r>
          </w:p>
        </w:tc>
        <w:tc>
          <w:tcPr>
            <w:tcW w:type="dxa" w:w="3009"/>
          </w:tcPr>
          <w:p>
            <w:pPr>
              <w:spacing w:line="360" w:lineRule="auto"/>
              <w:jc w:val="both"/>
            </w:pPr>
            <w:r/>
            <w:r>
              <w:rPr>
                <w:rFonts w:ascii="Arial" w:hAnsi="Arial"/>
                <w:b w:val="0"/>
                <w:i w:val="0"/>
                <w:color w:val="000000"/>
                <w:sz w:val="22"/>
              </w:rPr>
              <w:t>Disbursement Service melakukan kueri ke tabel `disbursements` mengambil Batch ID, MID, Nama Merchant, Rekening Tujuan, Total Nominal, Status, dan Timestamp.</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Daftar Disbursement</w:t>
            </w:r>
          </w:p>
        </w:tc>
        <w:tc>
          <w:tcPr>
            <w:tcW w:type="dxa" w:w="3009"/>
          </w:tcPr>
          <w:p>
            <w:pPr>
              <w:spacing w:line="360" w:lineRule="auto"/>
              <w:jc w:val="both"/>
            </w:pPr>
            <w:r/>
            <w:r>
              <w:rPr>
                <w:rFonts w:ascii="Arial" w:hAnsi="Arial"/>
                <w:b w:val="0"/>
                <w:i w:val="0"/>
                <w:color w:val="000000"/>
                <w:sz w:val="22"/>
              </w:rPr>
              <w:t>Front-End menyajikan tabel daftar pencairan disbursement merchant beserta komponen filter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dan tombol pagination.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Filter Preset / Parameter Pencarian</w:t>
            </w:r>
          </w:p>
        </w:tc>
        <w:tc>
          <w:tcPr>
            <w:tcW w:type="dxa" w:w="3009"/>
          </w:tcPr>
          <w:p>
            <w:pPr>
              <w:spacing w:line="360" w:lineRule="auto"/>
              <w:jc w:val="both"/>
            </w:pPr>
            <w:r/>
            <w:r>
              <w:rPr>
                <w:rFonts w:ascii="Arial" w:hAnsi="Arial"/>
                <w:b w:val="0"/>
                <w:i w:val="0"/>
                <w:color w:val="000000"/>
                <w:sz w:val="22"/>
              </w:rPr>
              <w:t xml:space="preserve">User Bank memilih opsi filter preset (misal: </w:t>
            </w:r>
            <w:r>
              <w:rPr>
                <w:rFonts w:ascii="Arial" w:hAnsi="Arial"/>
                <w:b/>
                <w:i w:val="0"/>
                <w:color w:val="000000"/>
                <w:sz w:val="22"/>
              </w:rPr>
              <w:t>7 Hari Terakhir</w:t>
            </w:r>
            <w:r>
              <w:rPr>
                <w:rFonts w:ascii="Arial" w:hAnsi="Arial"/>
                <w:b w:val="0"/>
                <w:i w:val="0"/>
                <w:color w:val="000000"/>
                <w:sz w:val="22"/>
              </w:rPr>
              <w:t xml:space="preserve">) atau memasukkan parameter pencarian MID/Status dan mengklik tombol </w:t>
            </w:r>
            <w:r>
              <w:rPr>
                <w:rFonts w:ascii="Arial" w:hAnsi="Arial"/>
                <w:b/>
                <w:i w:val="0"/>
                <w:color w:val="000000"/>
                <w:sz w:val="22"/>
              </w:rPr>
              <w:t>"Cari"</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Mengirim Request Filter Data</w:t>
            </w:r>
          </w:p>
        </w:tc>
        <w:tc>
          <w:tcPr>
            <w:tcW w:type="dxa" w:w="3009"/>
          </w:tcPr>
          <w:p>
            <w:pPr>
              <w:spacing w:line="360" w:lineRule="auto"/>
              <w:jc w:val="both"/>
            </w:pPr>
            <w:r/>
            <w:r>
              <w:rPr>
                <w:rFonts w:ascii="Arial" w:hAnsi="Arial"/>
                <w:b w:val="0"/>
                <w:i w:val="0"/>
                <w:color w:val="000000"/>
                <w:sz w:val="22"/>
              </w:rPr>
              <w:t>Front-End mengirimkan request pencarian berparameter ke API Gateway.</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Query Filtered Disbursement Data</w:t>
            </w:r>
          </w:p>
        </w:tc>
        <w:tc>
          <w:tcPr>
            <w:tcW w:type="dxa" w:w="3009"/>
          </w:tcPr>
          <w:p>
            <w:pPr>
              <w:spacing w:line="360" w:lineRule="auto"/>
              <w:jc w:val="both"/>
            </w:pPr>
            <w:r/>
            <w:r>
              <w:rPr>
                <w:rFonts w:ascii="Arial" w:hAnsi="Arial"/>
                <w:b w:val="0"/>
                <w:i w:val="0"/>
                <w:color w:val="000000"/>
                <w:sz w:val="22"/>
              </w:rPr>
              <w:t>Disbursement Service menjalankan kueri berfilter pada tabel `disbursements` dan mengembalikan data hasil pencarian.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Hasil Filter Disbursement</w:t>
            </w:r>
          </w:p>
        </w:tc>
        <w:tc>
          <w:tcPr>
            <w:tcW w:type="dxa" w:w="3009"/>
          </w:tcPr>
          <w:p>
            <w:pPr>
              <w:spacing w:line="360" w:lineRule="auto"/>
              <w:jc w:val="both"/>
            </w:pPr>
            <w:r/>
            <w:r>
              <w:rPr>
                <w:rFonts w:ascii="Arial" w:hAnsi="Arial"/>
                <w:b w:val="0"/>
                <w:i w:val="0"/>
                <w:color w:val="000000"/>
                <w:sz w:val="22"/>
              </w:rPr>
              <w:t>Front-End memperbarui tabel dengan menyajikan daftar pencairan disbursement yang cocok beserta ringkasan total nominal transfer.</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Membuka Detail Disbursement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data pencairan.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Query Detail Transaksi Disbursement</w:t>
            </w:r>
          </w:p>
        </w:tc>
        <w:tc>
          <w:tcPr>
            <w:tcW w:type="dxa" w:w="3009"/>
          </w:tcPr>
          <w:p>
            <w:pPr>
              <w:spacing w:line="360" w:lineRule="auto"/>
              <w:jc w:val="both"/>
            </w:pPr>
            <w:r/>
            <w:r>
              <w:rPr>
                <w:rFonts w:ascii="Arial" w:hAnsi="Arial"/>
                <w:b w:val="0"/>
                <w:i w:val="0"/>
                <w:color w:val="000000"/>
                <w:sz w:val="22"/>
              </w:rPr>
              <w:t>Disbursement Service melakukan kueri rincian itemized ke tabel `disbursement_details` berdasarkan `disbursement_id`.</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Detail Transaksi Disbursement</w:t>
            </w:r>
          </w:p>
        </w:tc>
        <w:tc>
          <w:tcPr>
            <w:tcW w:type="dxa" w:w="3009"/>
          </w:tcPr>
          <w:p>
            <w:pPr>
              <w:spacing w:line="360" w:lineRule="auto"/>
              <w:jc w:val="both"/>
            </w:pPr>
            <w:r/>
            <w:r>
              <w:rPr>
                <w:rFonts w:ascii="Arial" w:hAnsi="Arial"/>
                <w:b w:val="0"/>
                <w:i w:val="0"/>
                <w:color w:val="000000"/>
                <w:sz w:val="22"/>
              </w:rPr>
              <w:t>Front-End menampilkan modal/halaman detail yang menyajikan rincian per transaksi yang masuk dalam paket pencairan dana tersebut.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Pemantauan data disbursement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Data Disbursement Tidak Ditemukan</w:t>
            </w:r>
          </w:p>
        </w:tc>
        <w:tc>
          <w:tcPr>
            <w:tcW w:type="dxa" w:w="3009"/>
          </w:tcPr>
          <w:p>
            <w:pPr>
              <w:spacing w:line="360" w:lineRule="auto"/>
              <w:jc w:val="both"/>
            </w:pPr>
            <w:r/>
            <w:r>
              <w:rPr>
                <w:rFonts w:ascii="Arial" w:hAnsi="Arial"/>
                <w:b w:val="0"/>
                <w:i w:val="0"/>
                <w:color w:val="000000"/>
                <w:sz w:val="22"/>
              </w:rPr>
              <w:t>Pada langkah 7 atau 10, apabila kriteria filter pencarian atau rincian detail tidak cocok dengan data pada `disbursements`, Sistem mengembalikan data kosong dan Front-End menampilkan `Data disbursement tidak ditemukan`.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Gangguan Koneksi Database Server</w:t>
            </w:r>
          </w:p>
        </w:tc>
        <w:tc>
          <w:tcPr>
            <w:tcW w:type="dxa" w:w="3009"/>
          </w:tcPr>
          <w:p>
            <w:pPr>
              <w:spacing w:line="360" w:lineRule="auto"/>
              <w:jc w:val="both"/>
            </w:pPr>
            <w:r/>
            <w:r>
              <w:rPr>
                <w:rFonts w:ascii="Arial" w:hAnsi="Arial"/>
                <w:b w:val="0"/>
                <w:i w:val="0"/>
                <w:color w:val="000000"/>
                <w:sz w:val="22"/>
              </w:rPr>
              <w:t>Pada langkah 3, 7, atau 10, apabila koneksi database terputus, Sistem mengembalikan HTTP status 500 dan Front-End menampilkan `Gagal memuat data monitoring disbursement`.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muat data (*spinner/skeleton*) ditampilkan pada tabel atau modal detail saat data diproses dari server.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Tabel daftar monitoring disbursement dan modal rincian detail menyajikan data pencairan dana merchant secara valid sesuai filter preset.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EMPTY</w:t>
            </w:r>
          </w:p>
        </w:tc>
        <w:tc>
          <w:tcPr>
            <w:tcW w:type="dxa" w:w="3009"/>
          </w:tcPr>
          <w:p>
            <w:pPr>
              <w:spacing w:line="360" w:lineRule="auto"/>
              <w:jc w:val="both"/>
            </w:pPr>
            <w:r/>
            <w:r>
              <w:rPr>
                <w:rFonts w:ascii="Arial" w:hAnsi="Arial"/>
                <w:b w:val="0"/>
                <w:i w:val="0"/>
                <w:color w:val="000000"/>
                <w:sz w:val="22"/>
              </w:rPr>
              <w:t>Tabel menyajikan tampilan *empty state* saat tidak ada data pencairan yang cocok dengan parameter filter pencarian.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 xml:space="preserve">Pesan kesalahan disertai tombol </w:t>
            </w:r>
            <w:r>
              <w:rPr>
                <w:rFonts w:ascii="Arial" w:hAnsi="Arial"/>
                <w:b/>
                <w:i w:val="0"/>
                <w:color w:val="000000"/>
                <w:sz w:val="22"/>
              </w:rPr>
              <w:t>"Retry"</w:t>
            </w:r>
            <w:r>
              <w:rPr>
                <w:rFonts w:ascii="Arial" w:hAnsi="Arial"/>
                <w:b w:val="0"/>
                <w:i w:val="0"/>
                <w:color w:val="000000"/>
                <w:sz w:val="22"/>
              </w:rPr>
              <w:t xml:space="preserve"> ditampilkan pada UI akibat gangguan server atau validasi filter gagal.</w:t>
            </w:r>
          </w:p>
        </w:tc>
      </w:tr>
    </w:tbl>
    <w:p>
      <w:pPr>
        <w:spacing w:line="360" w:lineRule="auto"/>
        <w:jc w:val="both"/>
      </w:pPr>
    </w:p>
    <w:p>
      <w:pPr>
        <w:pStyle w:val="Heading5"/>
      </w:pPr>
      <w:r>
        <w:rPr>
          <w:rFonts w:ascii="Arial" w:hAnsi="Arial"/>
          <w:b w:val="0"/>
          <w:i w:val="0"/>
          <w:color w:val="000000"/>
          <w:sz w:val="22"/>
        </w:rPr>
        <w:t>Activity Diagram Menampilkan Monitoring Disbursement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0702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07022"/>
                    </a:xfrm>
                    <a:prstGeom prst="rect"/>
                  </pic:spPr>
                </pic:pic>
              </a:graphicData>
            </a:graphic>
          </wp:inline>
        </w:drawing>
      </w:r>
    </w:p>
    <w:p>
      <w:pPr>
        <w:pStyle w:val="Heading5"/>
      </w:pPr>
      <w:r>
        <w:rPr>
          <w:rFonts w:ascii="Arial" w:hAnsi="Arial"/>
          <w:b w:val="0"/>
          <w:i w:val="0"/>
          <w:color w:val="000000"/>
          <w:sz w:val="22"/>
        </w:rPr>
        <w:t>Sequence Diagram Menampilkan Monitoring Disbursement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20930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20930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SUCCESS_GET_MONITORING_DISBURSEMENT</w:t>
            </w:r>
          </w:p>
        </w:tc>
        <w:tc>
          <w:tcPr>
            <w:tcW w:type="dxa" w:w="1504"/>
          </w:tcPr>
          <w:p>
            <w:pPr>
              <w:spacing w:line="360" w:lineRule="auto"/>
              <w:jc w:val="both"/>
            </w:pPr>
            <w:r/>
            <w:r>
              <w:rPr>
                <w:rFonts w:ascii="Arial" w:hAnsi="Arial"/>
                <w:b w:val="0"/>
                <w:i w:val="0"/>
                <w:color w:val="000000"/>
                <w:sz w:val="22"/>
              </w:rPr>
              <w:t>Data daftar pencairan disbursement merchant berhasil diambil dari server sesuai filter preset.</w:t>
            </w:r>
          </w:p>
        </w:tc>
        <w:tc>
          <w:tcPr>
            <w:tcW w:type="dxa" w:w="1504"/>
          </w:tcPr>
          <w:p>
            <w:pPr>
              <w:spacing w:line="360" w:lineRule="auto"/>
              <w:jc w:val="both"/>
            </w:pPr>
            <w:r/>
            <w:r>
              <w:rPr>
                <w:rFonts w:ascii="Arial" w:hAnsi="Arial"/>
                <w:b w:val="0"/>
                <w:i w:val="0"/>
                <w:color w:val="000000"/>
                <w:sz w:val="22"/>
              </w:rPr>
              <w:t>Menampilkan tabel daftar pencairan disbursement secara lengkap.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INVALID_SEARCH_FILTER</w:t>
            </w:r>
          </w:p>
        </w:tc>
        <w:tc>
          <w:tcPr>
            <w:tcW w:type="dxa" w:w="1504"/>
          </w:tcPr>
          <w:p>
            <w:pPr>
              <w:spacing w:line="360" w:lineRule="auto"/>
              <w:jc w:val="both"/>
            </w:pPr>
            <w:r/>
            <w:r>
              <w:rPr>
                <w:rFonts w:ascii="Arial" w:hAnsi="Arial"/>
                <w:b w:val="0"/>
                <w:i w:val="0"/>
                <w:color w:val="000000"/>
                <w:sz w:val="22"/>
              </w:rPr>
              <w:t>Parameter filter pencarian atau opsi preset filter tidak valid.</w:t>
            </w:r>
          </w:p>
        </w:tc>
        <w:tc>
          <w:tcPr>
            <w:tcW w:type="dxa" w:w="1504"/>
          </w:tcPr>
          <w:p>
            <w:pPr>
              <w:spacing w:line="360" w:lineRule="auto"/>
              <w:jc w:val="both"/>
            </w:pPr>
            <w:r/>
            <w:r>
              <w:rPr>
                <w:rFonts w:ascii="Arial" w:hAnsi="Arial"/>
                <w:b w:val="0"/>
                <w:i w:val="0"/>
                <w:color w:val="000000"/>
                <w:sz w:val="22"/>
              </w:rPr>
              <w:t>Menampilkan pesan kesalahan `Filter pencarian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DISBURSEMENT_NOT_FOUND</w:t>
            </w:r>
          </w:p>
        </w:tc>
        <w:tc>
          <w:tcPr>
            <w:tcW w:type="dxa" w:w="1504"/>
          </w:tcPr>
          <w:p>
            <w:pPr>
              <w:spacing w:line="360" w:lineRule="auto"/>
              <w:jc w:val="both"/>
            </w:pPr>
            <w:r/>
            <w:r>
              <w:rPr>
                <w:rFonts w:ascii="Arial" w:hAnsi="Arial"/>
                <w:b w:val="0"/>
                <w:i w:val="0"/>
                <w:color w:val="000000"/>
                <w:sz w:val="22"/>
              </w:rPr>
              <w:t>Data pencairan disbursement atau rincian detail tidak ditemukan berdasarkan kriteria pencarian yang dimasukkan.</w:t>
            </w:r>
          </w:p>
        </w:tc>
        <w:tc>
          <w:tcPr>
            <w:tcW w:type="dxa" w:w="1504"/>
          </w:tcPr>
          <w:p>
            <w:pPr>
              <w:spacing w:line="360" w:lineRule="auto"/>
              <w:jc w:val="both"/>
            </w:pPr>
            <w:r/>
            <w:r>
              <w:rPr>
                <w:rFonts w:ascii="Arial" w:hAnsi="Arial"/>
                <w:b w:val="0"/>
                <w:i w:val="0"/>
                <w:color w:val="000000"/>
                <w:sz w:val="22"/>
              </w:rPr>
              <w:t>Menampilkan tabel dalam kondisi *empty state* dengan pesan `Data disbursement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mengambil data disbursement merchant.</w:t>
            </w:r>
          </w:p>
        </w:tc>
        <w:tc>
          <w:tcPr>
            <w:tcW w:type="dxa" w:w="1504"/>
          </w:tcPr>
          <w:p>
            <w:pPr>
              <w:spacing w:line="360" w:lineRule="auto"/>
              <w:jc w:val="both"/>
            </w:pPr>
            <w:r/>
            <w:r>
              <w:rPr>
                <w:rFonts w:ascii="Arial" w:hAnsi="Arial"/>
                <w:b w:val="0"/>
                <w:i w:val="0"/>
                <w:color w:val="000000"/>
                <w:sz w:val="22"/>
              </w:rPr>
              <w:t>Menampilkan indikator error pada UI dan tombol *retry*.</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DATABASE_QUERY_TIMEOUT</w:t>
            </w:r>
          </w:p>
        </w:tc>
        <w:tc>
          <w:tcPr>
            <w:tcW w:type="dxa" w:w="1504"/>
          </w:tcPr>
          <w:p>
            <w:pPr>
              <w:spacing w:line="360" w:lineRule="auto"/>
              <w:jc w:val="both"/>
            </w:pPr>
            <w:r/>
            <w:r>
              <w:rPr>
                <w:rFonts w:ascii="Arial" w:hAnsi="Arial"/>
                <w:b w:val="0"/>
                <w:i w:val="0"/>
                <w:color w:val="000000"/>
                <w:sz w:val="22"/>
              </w:rPr>
              <w:t>Kueri ke tabel `disbursements` / `disbursement_details` mengalami batas waktu habis (timeout).</w:t>
            </w:r>
          </w:p>
        </w:tc>
        <w:tc>
          <w:tcPr>
            <w:tcW w:type="dxa" w:w="1504"/>
          </w:tcPr>
          <w:p>
            <w:pPr>
              <w:spacing w:line="360" w:lineRule="auto"/>
              <w:jc w:val="both"/>
            </w:pPr>
            <w:r/>
            <w:r>
              <w:rPr>
                <w:rFonts w:ascii="Arial" w:hAnsi="Arial"/>
                <w:b w:val="0"/>
                <w:i w:val="0"/>
                <w:color w:val="000000"/>
                <w:sz w:val="22"/>
              </w:rPr>
              <w:t>Menampilkan pesan kesalahan `Gagal memuat data monitoring disbursement akibat timeout`.</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Monitoring Disbursement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Tombol Filter Preset:</w:t>
            </w:r>
            <w:r>
              <w:rPr>
                <w:rFonts w:ascii="Arial" w:hAnsi="Arial"/>
                <w:b w:val="0"/>
                <w:i w:val="0"/>
                <w:color w:val="000000"/>
                <w:sz w:val="22"/>
              </w:rPr>
              <w:t xml:space="preserve">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*(Default)*, </w:t>
            </w:r>
            <w:r>
              <w:rPr>
                <w:rFonts w:ascii="Arial" w:hAnsi="Arial"/>
                <w:b/>
                <w:i w:val="0"/>
                <w:color w:val="000000"/>
                <w:sz w:val="22"/>
              </w:rPr>
              <w:t>1 Tahun Terakhir</w:t>
            </w:r>
            <w:r>
              <w:rPr>
                <w:rFonts w:ascii="Arial" w:hAnsi="Arial"/>
                <w:b w:val="0"/>
                <w:i w:val="0"/>
                <w:color w:val="000000"/>
                <w:sz w:val="22"/>
              </w:rPr>
              <w:t xml:space="preserve">).&lt;br&gt;2. </w:t>
            </w:r>
            <w:r>
              <w:rPr>
                <w:rFonts w:ascii="Arial" w:hAnsi="Arial"/>
                <w:b/>
                <w:i w:val="0"/>
                <w:color w:val="000000"/>
                <w:sz w:val="22"/>
              </w:rPr>
              <w:t>Bilah Pencarian:</w:t>
            </w:r>
            <w:r>
              <w:rPr>
                <w:rFonts w:ascii="Arial" w:hAnsi="Arial"/>
                <w:b w:val="0"/>
                <w:i w:val="0"/>
                <w:color w:val="000000"/>
                <w:sz w:val="22"/>
              </w:rPr>
              <w:t xml:space="preserve"> Input Merchant ID / Nama Merchant, Dropdown Status (`SUCCESS`, `PENDING`, `PROCESSING`, `FAILED`), dan Tombol </w:t>
            </w:r>
            <w:r>
              <w:rPr>
                <w:rFonts w:ascii="Arial" w:hAnsi="Arial"/>
                <w:b/>
                <w:i w:val="0"/>
                <w:color w:val="000000"/>
                <w:sz w:val="22"/>
              </w:rPr>
              <w:t>"Cari"</w:t>
            </w:r>
            <w:r>
              <w:rPr>
                <w:rFonts w:ascii="Arial" w:hAnsi="Arial"/>
                <w:b w:val="0"/>
                <w:i w:val="0"/>
                <w:color w:val="000000"/>
                <w:sz w:val="22"/>
              </w:rPr>
              <w:t xml:space="preserve"> / </w:t>
            </w:r>
            <w:r>
              <w:rPr>
                <w:rFonts w:ascii="Arial" w:hAnsi="Arial"/>
                <w:b/>
                <w:i w:val="0"/>
                <w:color w:val="000000"/>
                <w:sz w:val="22"/>
              </w:rPr>
              <w:t>"Reset"</w:t>
            </w:r>
            <w:r>
              <w:rPr>
                <w:rFonts w:ascii="Arial" w:hAnsi="Arial"/>
                <w:b w:val="0"/>
                <w:i w:val="0"/>
                <w:color w:val="000000"/>
                <w:sz w:val="22"/>
              </w:rPr>
              <w:t xml:space="preserve">.&lt;br&gt;3. </w:t>
            </w:r>
            <w:r>
              <w:rPr>
                <w:rFonts w:ascii="Arial" w:hAnsi="Arial"/>
                <w:b/>
                <w:i w:val="0"/>
                <w:color w:val="000000"/>
                <w:sz w:val="22"/>
              </w:rPr>
              <w:t>Tabel Disbursement:</w:t>
            </w:r>
            <w:r>
              <w:rPr>
                <w:rFonts w:ascii="Arial" w:hAnsi="Arial"/>
                <w:b w:val="0"/>
                <w:i w:val="0"/>
                <w:color w:val="000000"/>
                <w:sz w:val="22"/>
              </w:rPr>
              <w:t xml:space="preserve"> Kolom Batch ID, Tanggal Transfer, Merchant ID, Nama Merchant, Rekening Tujuan, Total Nominal Transfer, Status, dan Tombol Aksi </w:t>
            </w:r>
            <w:r>
              <w:rPr>
                <w:rFonts w:ascii="Arial" w:hAnsi="Arial"/>
                <w:b/>
                <w:i w:val="0"/>
                <w:color w:val="000000"/>
                <w:sz w:val="22"/>
              </w:rPr>
              <w:t>"Detail"</w:t>
            </w:r>
            <w:r>
              <w:rPr>
                <w:rFonts w:ascii="Arial" w:hAnsi="Arial"/>
                <w:b w:val="0"/>
                <w:i w:val="0"/>
                <w:color w:val="000000"/>
                <w:sz w:val="22"/>
              </w:rPr>
              <w:t xml:space="preserve">.&lt;br&gt;4. </w:t>
            </w:r>
            <w:r>
              <w:rPr>
                <w:rFonts w:ascii="Arial" w:hAnsi="Arial"/>
                <w:b/>
                <w:i w:val="0"/>
                <w:color w:val="000000"/>
                <w:sz w:val="22"/>
              </w:rPr>
              <w:t>Pagination Control:</w:t>
            </w:r>
            <w:r>
              <w:rPr>
                <w:rFonts w:ascii="Arial" w:hAnsi="Arial"/>
                <w:b w:val="0"/>
                <w:i w:val="0"/>
                <w:color w:val="000000"/>
                <w:sz w:val="22"/>
              </w:rPr>
              <w:t xml:space="preserve"> Komponen navigasi halaman (First, Prev, Page Numbers, Next, Last).&lt;br&gt;5. </w:t>
            </w:r>
            <w:r>
              <w:rPr>
                <w:rFonts w:ascii="Arial" w:hAnsi="Arial"/>
                <w:b/>
                <w:i w:val="0"/>
                <w:color w:val="000000"/>
                <w:sz w:val="22"/>
              </w:rPr>
              <w:t>State Indicator:</w:t>
            </w:r>
            <w:r>
              <w:rPr>
                <w:rFonts w:ascii="Arial" w:hAnsi="Arial"/>
                <w:b w:val="0"/>
                <w:i w:val="0"/>
                <w:color w:val="000000"/>
                <w:sz w:val="22"/>
              </w:rPr>
              <w:t xml:space="preserve"> Tampilan LOADING (Spinner), SUCCESS, EMPTY, dan ERROR.</w:t>
            </w:r>
          </w:p>
        </w:tc>
      </w:tr>
      <w:tr>
        <w:trPr>
          <w:cantSplit/>
        </w:trPr>
        <w:tc>
          <w:tcPr>
            <w:tcW w:type="dxa" w:w="4513"/>
          </w:tcPr>
          <w:p>
            <w:pPr>
              <w:spacing w:line="360" w:lineRule="auto"/>
              <w:jc w:val="both"/>
            </w:pPr>
            <w:r/>
            <w:r>
              <w:rPr>
                <w:rFonts w:ascii="Arial" w:hAnsi="Arial"/>
                <w:b w:val="0"/>
                <w:i w:val="0"/>
                <w:color w:val="000000"/>
                <w:sz w:val="22"/>
              </w:rPr>
              <w:t>Modal Detail Disbursement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Ringkasan:</w:t>
            </w:r>
            <w:r>
              <w:rPr>
                <w:rFonts w:ascii="Arial" w:hAnsi="Arial"/>
                <w:b w:val="0"/>
                <w:i w:val="0"/>
                <w:color w:val="000000"/>
                <w:sz w:val="22"/>
              </w:rPr>
              <w:t xml:space="preserve"> Batch ID, Tanggal Transfer, MID, Total Nominal Transfer, dan Status Badge.&lt;br&gt;2. </w:t>
            </w:r>
            <w:r>
              <w:rPr>
                <w:rFonts w:ascii="Arial" w:hAnsi="Arial"/>
                <w:b/>
                <w:i w:val="0"/>
                <w:color w:val="000000"/>
                <w:sz w:val="22"/>
              </w:rPr>
              <w:t>Tabel Rincian Item (`disbursement_details`):</w:t>
            </w:r>
            <w:r>
              <w:rPr>
                <w:rFonts w:ascii="Arial" w:hAnsi="Arial"/>
                <w:b w:val="0"/>
                <w:i w:val="0"/>
                <w:color w:val="000000"/>
                <w:sz w:val="22"/>
              </w:rPr>
              <w:t xml:space="preserve"> Kolom RRN, Tanggal Transaksi, Nominal Transaksi, Biaya MDR, Nominal Netto Disetorkan, dan Status Item.&lt;br&gt;3. </w:t>
            </w:r>
            <w:r>
              <w:rPr>
                <w:rFonts w:ascii="Arial" w:hAnsi="Arial"/>
                <w:b/>
                <w:i w:val="0"/>
                <w:color w:val="000000"/>
                <w:sz w:val="22"/>
              </w:rPr>
              <w:t>Tombol "Tutup":</w:t>
            </w:r>
            <w:r>
              <w:rPr>
                <w:rFonts w:ascii="Arial" w:hAnsi="Arial"/>
                <w:b w:val="0"/>
                <w:i w:val="0"/>
                <w:color w:val="000000"/>
                <w:sz w:val="22"/>
              </w:rPr>
              <w:t xml:space="preserve"> Menutup modal rincian detail pencairan.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