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keepNext w:val="true"/>
        <w:keepLines w:val="false"/>
        <w:widowControl/>
        <w:spacing w:lineRule="auto" w:line="240" w:before="120" w:after="60"/>
        <w:rPr/>
      </w:pPr>
      <w:r>
        <w:rPr>
          <w:rFonts w:eastAsia="Arial"/>
          <w:b/>
          <w:i w:val="false"/>
          <w:color w:val="245885"/>
          <w:sz w:val="22"/>
        </w:rPr>
        <w:t>SUMÁRIO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1. Apresentação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2. Acesso ao HERMES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3. Preparação dos arquivos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4. Procedimento padrão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5. Como interpretar a tela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6. Automações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7. Exportações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8. Mensagens e correções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9. Segurança e encerramento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10. Checklist do usuário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11. Suporte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12. Aprovação</w:t>
      </w:r>
      <w:r>
        <w:br w:type="page"/>
      </w:r>
    </w:p>
    <w:p>
      <w:pPr>
        <w:pStyle w:val="Normal"/>
        <w:keepNext w:val="true"/>
        <w:keepLines w:val="false"/>
        <w:widowControl/>
        <w:spacing w:lineRule="auto" w:line="240" w:before="0" w:after="60"/>
        <w:rPr/>
      </w:pPr>
      <w:r>
        <w:rPr>
          <w:rFonts w:eastAsia="Arial"/>
          <w:b/>
          <w:i w:val="false"/>
          <w:color w:val="245885"/>
          <w:sz w:val="22"/>
        </w:rPr>
        <w:t>1. APRESENTAÇÃO</w:t>
      </w:r>
    </w:p>
    <w:p>
      <w:pPr>
        <w:pStyle w:val="Normal"/>
        <w:keepLines w:val="false"/>
        <w:widowControl/>
        <w:spacing w:lineRule="auto" w:line="240" w:before="0" w:after="40"/>
        <w:rPr/>
      </w:pPr>
      <w:r>
        <w:rPr>
          <w:rFonts w:eastAsia="Arial"/>
          <w:b w:val="false"/>
          <w:i w:val="false"/>
          <w:color w:val="000000"/>
          <w:sz w:val="18"/>
        </w:rPr>
        <w:t>O HERMES automatiza conferências entre relatórios contábeis, financeiros, fiscais e operacionais. Ele identifica os arquivos selecionados, normaliza seus dados, compara as fontes e apresenta registros conciliados e pendências para análise.</w:t>
      </w:r>
    </w:p>
    <w:tbl>
      <w:tblPr>
        <w:tblW w:w="1044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449"/>
      </w:tblGrid>
      <w:tr>
        <w:trPr/>
        <w:tc>
          <w:tcPr>
            <w:tcW w:w="10449" w:type="dxa"/>
            <w:tcBorders/>
            <w:shd w:fill="DDEBF7" w:val="clea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/>
                <w:i w:val="false"/>
                <w:color w:val="000000"/>
                <w:sz w:val="18"/>
              </w:rPr>
              <w:t xml:space="preserve">IMPORTANTE: </w:t>
            </w:r>
            <w:r>
              <w:rPr>
                <w:rFonts w:eastAsia="Arial"/>
                <w:b w:val="false"/>
                <w:i w:val="false"/>
                <w:color w:val="000000"/>
                <w:sz w:val="18"/>
              </w:rPr>
              <w:t>O HERMES não altera os arquivos de origem e não executa correções contábeis, financeiras ou fiscais. O responsável pelo processo deve validar as pendências antes de qualquer ajuste.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1044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224"/>
        <w:gridCol w:w="5225"/>
      </w:tblGrid>
      <w:tr>
        <w:trPr>
          <w:tblHeader w:val="true"/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45885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6"/>
              </w:rPr>
              <w:t>O sistema permite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45885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6"/>
              </w:rPr>
              <w:t>Responsabilidade do usuário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Comparar valores e documentos entre sistemas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Gerar todas as fontes para o mesmo hotel e período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Localizar ausências e divergências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Confirmar a causa nas fontes oficiais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Exportar Excel e PDF; gerar CSV da Folha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Salvar o resultado em local autorizado e validar antes do uso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keepNext w:val="true"/>
        <w:keepLines w:val="false"/>
        <w:widowControl/>
        <w:spacing w:lineRule="auto" w:line="240" w:before="120" w:after="60"/>
        <w:rPr/>
      </w:pPr>
      <w:r>
        <w:rPr>
          <w:rFonts w:eastAsia="Arial"/>
          <w:b/>
          <w:i w:val="false"/>
          <w:color w:val="245885"/>
          <w:sz w:val="22"/>
        </w:rPr>
        <w:t>2. ACESSO AO HERMES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/>
          <w:i w:val="false"/>
          <w:color w:val="000000"/>
          <w:sz w:val="18"/>
        </w:rPr>
        <w:t xml:space="preserve">1. </w:t>
      </w:r>
      <w:r>
        <w:rPr>
          <w:rFonts w:eastAsia="Arial"/>
          <w:b w:val="false"/>
          <w:i w:val="false"/>
          <w:color w:val="000000"/>
          <w:sz w:val="18"/>
        </w:rPr>
        <w:t>Conecte-se à rede administrativa autorizada.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/>
          <w:i w:val="false"/>
          <w:color w:val="000000"/>
          <w:sz w:val="18"/>
        </w:rPr>
        <w:t xml:space="preserve">2. </w:t>
      </w:r>
      <w:r>
        <w:rPr>
          <w:rFonts w:eastAsia="Arial"/>
          <w:b w:val="false"/>
          <w:i w:val="false"/>
          <w:color w:val="000000"/>
          <w:sz w:val="18"/>
        </w:rPr>
        <w:t>Abra http://10.197.3.193 no navegador.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/>
          <w:i w:val="false"/>
          <w:color w:val="000000"/>
          <w:sz w:val="18"/>
        </w:rPr>
        <w:t xml:space="preserve">3. </w:t>
      </w:r>
      <w:r>
        <w:rPr>
          <w:rFonts w:eastAsia="Arial"/>
          <w:b w:val="false"/>
          <w:i w:val="false"/>
          <w:color w:val="000000"/>
          <w:sz w:val="18"/>
        </w:rPr>
        <w:t>Informe o usuário e a senha fornecidos pela TI.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/>
          <w:i w:val="false"/>
          <w:color w:val="000000"/>
          <w:sz w:val="18"/>
        </w:rPr>
        <w:t xml:space="preserve">4. </w:t>
      </w:r>
      <w:r>
        <w:rPr>
          <w:rFonts w:eastAsia="Arial"/>
          <w:b w:val="false"/>
          <w:i w:val="false"/>
          <w:color w:val="000000"/>
          <w:sz w:val="18"/>
        </w:rPr>
        <w:t>Após cinco tentativas incorretas, aguarde cinco minutos antes de tentar novamente.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/>
          <w:i w:val="false"/>
          <w:color w:val="000000"/>
          <w:sz w:val="18"/>
        </w:rPr>
        <w:t xml:space="preserve">5. </w:t>
      </w:r>
      <w:r>
        <w:rPr>
          <w:rFonts w:eastAsia="Arial"/>
          <w:b w:val="false"/>
          <w:i w:val="false"/>
          <w:color w:val="000000"/>
          <w:sz w:val="18"/>
        </w:rPr>
        <w:t>Ao fechar ou recarregar a página, a autenticação é invalidada e deverá ser informada novamente.</w:t>
      </w:r>
    </w:p>
    <w:tbl>
      <w:tblPr>
        <w:tblW w:w="1044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449"/>
      </w:tblGrid>
      <w:tr>
        <w:trPr/>
        <w:tc>
          <w:tcPr>
            <w:tcW w:w="10449" w:type="dxa"/>
            <w:tcBorders/>
            <w:shd w:fill="FCE4D6" w:val="clea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/>
                <w:i w:val="false"/>
                <w:color w:val="000000"/>
                <w:sz w:val="18"/>
              </w:rPr>
              <w:t xml:space="preserve">SEGURANÇA: </w:t>
            </w:r>
            <w:r>
              <w:rPr>
                <w:rFonts w:eastAsia="Arial"/>
                <w:b w:val="false"/>
                <w:i w:val="false"/>
                <w:color w:val="000000"/>
                <w:sz w:val="18"/>
              </w:rPr>
              <w:t>O endereço atual usa HTTP na rede local. Não informe a credencial em redes públicas e não compartilhe usuário ou senha.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keepNext w:val="true"/>
        <w:keepLines w:val="false"/>
        <w:widowControl/>
        <w:spacing w:lineRule="auto" w:line="240" w:before="60" w:after="60"/>
        <w:rPr/>
      </w:pPr>
      <w:r>
        <w:rPr>
          <w:rFonts w:eastAsia="Arial"/>
          <w:b/>
          <w:i w:val="false"/>
          <w:color w:val="245885"/>
          <w:sz w:val="19"/>
        </w:rPr>
        <w:t>Hotéis disponíveis</w:t>
      </w:r>
    </w:p>
    <w:p>
      <w:pPr>
        <w:pStyle w:val="Normal"/>
        <w:keepLines w:val="false"/>
        <w:widowControl/>
        <w:spacing w:lineRule="auto" w:line="240" w:before="0" w:after="40"/>
        <w:rPr/>
      </w:pPr>
      <w:r>
        <w:rPr>
          <w:rFonts w:eastAsia="Arial"/>
          <w:b w:val="false"/>
          <w:i w:val="false"/>
          <w:color w:val="000000"/>
          <w:sz w:val="18"/>
        </w:rPr>
        <w:t>As telas com o campo Hotel permitem Cumbuco, Magna, Taiba e Charme. Use Cumbuco para relatórios anteriormente identificados como Wind; Wind e Cumbuco são tratados como o mesmo local.</w:t>
      </w:r>
    </w:p>
    <w:p>
      <w:pPr>
        <w:pStyle w:val="Normal"/>
        <w:keepNext w:val="true"/>
        <w:keepLines w:val="false"/>
        <w:widowControl/>
        <w:spacing w:lineRule="auto" w:line="240" w:before="120" w:after="60"/>
        <w:rPr/>
      </w:pPr>
      <w:r>
        <w:rPr>
          <w:rFonts w:eastAsia="Arial"/>
          <w:b/>
          <w:i w:val="false"/>
          <w:color w:val="245885"/>
          <w:sz w:val="22"/>
        </w:rPr>
        <w:t>3. PREPARAÇÃO DOS ARQUIVOS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Gere todos os relatórios para a mesma empresa, hotel, competência e intervalo de datas.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Mantenha cabeçalhos, colunas e nomes originais; não crie colunas para contornar mensagens do sistema.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Aguarde o término da geração e confirme que os arquivos abrem normalmente.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Selecione o conjunto completo na mesma operação; a ordem geralmente não importa.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Mantenha os originais até concluir a conferência e o download do resultado.</w:t>
      </w:r>
    </w:p>
    <w:tbl>
      <w:tblPr>
        <w:tblW w:w="1044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224"/>
        <w:gridCol w:w="5225"/>
      </w:tblGrid>
      <w:tr>
        <w:trPr>
          <w:tblHeader w:val="true"/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45885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6"/>
              </w:rPr>
              <w:t>Formato aceito conforme atividade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45885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6"/>
              </w:rPr>
              <w:t>Observação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.xlsx, .xlsm, .xltx, .xltm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Planilhas Excel modernas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.xls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Excel binário ou relatório HTML compatível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.csv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Fontes específicas, como relatórios municipais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.xml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XML de encerramentos do Opera na atividade RPS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keepNext w:val="true"/>
        <w:keepLines w:val="false"/>
        <w:widowControl/>
        <w:spacing w:lineRule="auto" w:line="240" w:before="120" w:after="60"/>
        <w:rPr/>
      </w:pPr>
      <w:r>
        <w:rPr>
          <w:rFonts w:eastAsia="Arial"/>
          <w:b/>
          <w:i w:val="false"/>
          <w:color w:val="245885"/>
          <w:sz w:val="22"/>
        </w:rPr>
        <w:t>4. PROCEDIMENTO PADRÃO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/>
          <w:i w:val="false"/>
          <w:color w:val="000000"/>
          <w:sz w:val="18"/>
        </w:rPr>
        <w:t xml:space="preserve">1. </w:t>
      </w:r>
      <w:r>
        <w:rPr>
          <w:rFonts w:eastAsia="Arial"/>
          <w:b w:val="false"/>
          <w:i w:val="false"/>
          <w:color w:val="000000"/>
          <w:sz w:val="18"/>
        </w:rPr>
        <w:t>Abra o HERMES e escolha a atividade no menu lateral.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/>
          <w:i w:val="false"/>
          <w:color w:val="000000"/>
          <w:sz w:val="18"/>
        </w:rPr>
        <w:t xml:space="preserve">2. </w:t>
      </w:r>
      <w:r>
        <w:rPr>
          <w:rFonts w:eastAsia="Arial"/>
          <w:b w:val="false"/>
          <w:i w:val="false"/>
          <w:color w:val="000000"/>
          <w:sz w:val="18"/>
        </w:rPr>
        <w:t>Leia a orientação exibida abaixo de Arquivos necessários.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/>
          <w:i w:val="false"/>
          <w:color w:val="000000"/>
          <w:sz w:val="18"/>
        </w:rPr>
        <w:t xml:space="preserve">3. </w:t>
      </w:r>
      <w:r>
        <w:rPr>
          <w:rFonts w:eastAsia="Arial"/>
          <w:b w:val="false"/>
          <w:i w:val="false"/>
          <w:color w:val="000000"/>
          <w:sz w:val="18"/>
        </w:rPr>
        <w:t>Quando existir o seletor Hotel, escolha a unidade antes de carregar os relatórios.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/>
          <w:i w:val="false"/>
          <w:color w:val="000000"/>
          <w:sz w:val="18"/>
        </w:rPr>
        <w:t xml:space="preserve">4. </w:t>
      </w:r>
      <w:r>
        <w:rPr>
          <w:rFonts w:eastAsia="Arial"/>
          <w:b w:val="false"/>
          <w:i w:val="false"/>
          <w:color w:val="000000"/>
          <w:sz w:val="18"/>
        </w:rPr>
        <w:t>Clique em Arquivos e selecione todos os relatórios pedidos de uma só vez.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/>
          <w:i w:val="false"/>
          <w:color w:val="000000"/>
          <w:sz w:val="18"/>
        </w:rPr>
        <w:t xml:space="preserve">5. </w:t>
      </w:r>
      <w:r>
        <w:rPr>
          <w:rFonts w:eastAsia="Arial"/>
          <w:b w:val="false"/>
          <w:i w:val="false"/>
          <w:color w:val="000000"/>
          <w:sz w:val="18"/>
        </w:rPr>
        <w:t>Aguarde a mensagem Conferência concluída.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/>
          <w:i w:val="false"/>
          <w:color w:val="000000"/>
          <w:sz w:val="18"/>
        </w:rPr>
        <w:t xml:space="preserve">6. </w:t>
      </w:r>
      <w:r>
        <w:rPr>
          <w:rFonts w:eastAsia="Arial"/>
          <w:b w:val="false"/>
          <w:i w:val="false"/>
          <w:color w:val="000000"/>
          <w:sz w:val="18"/>
        </w:rPr>
        <w:t>Leia os indicadores e abra Resumo para conferir os totais comparados.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/>
          <w:i w:val="false"/>
          <w:color w:val="000000"/>
          <w:sz w:val="18"/>
        </w:rPr>
        <w:t xml:space="preserve">7. </w:t>
      </w:r>
      <w:r>
        <w:rPr>
          <w:rFonts w:eastAsia="Arial"/>
          <w:b w:val="false"/>
          <w:i w:val="false"/>
          <w:color w:val="000000"/>
          <w:sz w:val="18"/>
        </w:rPr>
        <w:t>Use Exibir e Buscar nos resultados para localizar as pendências.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/>
          <w:i w:val="false"/>
          <w:color w:val="000000"/>
          <w:sz w:val="18"/>
        </w:rPr>
        <w:t xml:space="preserve">8. </w:t>
      </w:r>
      <w:r>
        <w:rPr>
          <w:rFonts w:eastAsia="Arial"/>
          <w:b w:val="false"/>
          <w:i w:val="false"/>
          <w:color w:val="000000"/>
          <w:sz w:val="18"/>
        </w:rPr>
        <w:t>Valide cada pendência nos sistemas de origem.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/>
          <w:i w:val="false"/>
          <w:color w:val="000000"/>
          <w:sz w:val="18"/>
        </w:rPr>
        <w:t xml:space="preserve">9. </w:t>
      </w:r>
      <w:r>
        <w:rPr>
          <w:rFonts w:eastAsia="Arial"/>
          <w:b w:val="false"/>
          <w:i w:val="false"/>
          <w:color w:val="000000"/>
          <w:sz w:val="18"/>
        </w:rPr>
        <w:t>Escolha Excel, PDF ou CSV, clique em Exportar e salve o arquivo.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/>
          <w:i w:val="false"/>
          <w:color w:val="000000"/>
          <w:sz w:val="18"/>
        </w:rPr>
        <w:t xml:space="preserve">10. </w:t>
      </w:r>
      <w:r>
        <w:rPr>
          <w:rFonts w:eastAsia="Arial"/>
          <w:b w:val="false"/>
          <w:i w:val="false"/>
          <w:color w:val="000000"/>
          <w:sz w:val="18"/>
        </w:rPr>
        <w:t>Clique em Limpar antes de iniciar outro conjunto.</w:t>
      </w:r>
    </w:p>
    <w:tbl>
      <w:tblPr>
        <w:tblW w:w="1044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449"/>
      </w:tblGrid>
      <w:tr>
        <w:trPr/>
        <w:tc>
          <w:tcPr>
            <w:tcW w:w="10449" w:type="dxa"/>
            <w:tcBorders/>
            <w:shd w:fill="FCE4D6" w:val="clea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/>
                <w:i w:val="false"/>
                <w:color w:val="000000"/>
                <w:sz w:val="18"/>
              </w:rPr>
              <w:t xml:space="preserve">ATENÇÃO: </w:t>
            </w:r>
            <w:r>
              <w:rPr>
                <w:rFonts w:eastAsia="Arial"/>
                <w:b w:val="false"/>
                <w:i w:val="false"/>
                <w:color w:val="000000"/>
                <w:sz w:val="18"/>
              </w:rPr>
              <w:t>Trocar o hotel após uma análise limpa o resultado anterior. Isso impede exportação com hotel e regra de negócio incorretos.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keepNext w:val="true"/>
        <w:keepLines w:val="false"/>
        <w:widowControl/>
        <w:spacing w:lineRule="auto" w:line="240" w:before="120" w:after="60"/>
        <w:rPr/>
      </w:pPr>
      <w:r>
        <w:rPr>
          <w:rFonts w:eastAsia="Arial"/>
          <w:b/>
          <w:i w:val="false"/>
          <w:color w:val="245885"/>
          <w:sz w:val="22"/>
        </w:rPr>
        <w:t>5. COMO INTERPRETAR A TELA</w:t>
      </w:r>
    </w:p>
    <w:tbl>
      <w:tblPr>
        <w:tblW w:w="1044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224"/>
        <w:gridCol w:w="5225"/>
      </w:tblGrid>
      <w:tr>
        <w:trPr>
          <w:tblHeader w:val="true"/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45885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6"/>
              </w:rPr>
              <w:t>Elemento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45885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6"/>
              </w:rPr>
              <w:t>Como usar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Arquivos necessários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Informa quantidade e tipos exigidos; após a análise, mostra os arquivos reconhecidos.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Indicadores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Apresentam total, conciliados/prontos, pendências, informativos e percentual.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Resumo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Mostra totais entre as fontes; use o detalhamento para concluir a análise.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Exibir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Filtra Todos, Conciliados e Pendências; em Notas de Entrada usa Em dia, Alerta e Em atraso.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Buscar nos resultados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Pesquisa em todas as colunas visíveis, sem diferenciar maiúsculas e minúsculas.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Paginação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Navega entre os registros; a quantidade por página acompanha o tamanho da janela.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Limpar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Remove resultado e dados temporários da sessão; não apaga os arquivos do usuário.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1044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224"/>
        <w:gridCol w:w="5225"/>
      </w:tblGrid>
      <w:tr>
        <w:trPr>
          <w:tblHeader w:val="true"/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45885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6"/>
              </w:rPr>
              <w:t>Cor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45885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6"/>
              </w:rPr>
              <w:t>Interpretação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Verde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Conciliado, correto ou pronto.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Amarelo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Informativo ou situação que exige contexto, como período incompleto ou ausência de movimento.</w:t>
            </w:r>
          </w:p>
        </w:tc>
      </w:tr>
      <w:tr>
        <w:trPr>
          <w:cantSplit/>
        </w:trPr>
        <w:tc>
          <w:tcPr>
            <w:tcW w:w="522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Vermelho</w:t>
            </w:r>
          </w:p>
        </w:tc>
        <w:tc>
          <w:tcPr>
            <w:tcW w:w="522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Divergência, ausência, atraso ou parametrização incompleta.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tbl>
      <w:tblPr>
        <w:tblW w:w="1044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449"/>
      </w:tblGrid>
      <w:tr>
        <w:trPr/>
        <w:tc>
          <w:tcPr>
            <w:tcW w:w="10449" w:type="dxa"/>
            <w:tcBorders/>
            <w:shd w:fill="DDEBF7" w:val="clea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/>
                <w:i w:val="false"/>
                <w:color w:val="000000"/>
                <w:sz w:val="18"/>
              </w:rPr>
              <w:t xml:space="preserve">NOTA: </w:t>
            </w:r>
            <w:r>
              <w:rPr>
                <w:rFonts w:eastAsia="Arial"/>
                <w:b w:val="false"/>
                <w:i w:val="false"/>
                <w:color w:val="000000"/>
                <w:sz w:val="18"/>
              </w:rPr>
              <w:t>A cor orienta a triagem, mas o texto de Resultado, Situação, Motivo ou Explicação é o critério que deve ser lido.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keepNext w:val="true"/>
        <w:keepLines w:val="false"/>
        <w:widowControl/>
        <w:spacing w:lineRule="auto" w:line="240" w:before="120" w:after="60"/>
        <w:rPr/>
      </w:pPr>
      <w:r>
        <w:rPr>
          <w:rFonts w:eastAsia="Arial"/>
          <w:b/>
          <w:i w:val="false"/>
          <w:color w:val="245885"/>
          <w:sz w:val="22"/>
        </w:rPr>
        <w:t>6. AUTOMAÇÕES — VISÃO GERAL</w:t>
      </w:r>
    </w:p>
    <w:tbl>
      <w:tblPr>
        <w:tblW w:w="1045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090"/>
        <w:gridCol w:w="2090"/>
        <w:gridCol w:w="2090"/>
        <w:gridCol w:w="2090"/>
        <w:gridCol w:w="2090"/>
      </w:tblGrid>
      <w:tr>
        <w:trPr>
          <w:tblHeader w:val="true"/>
          <w:cantSplit/>
        </w:trPr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45885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6"/>
              </w:rPr>
              <w:t>#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45885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6"/>
              </w:rPr>
              <w:t>Atividade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45885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6"/>
              </w:rPr>
              <w:t>Arquivos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45885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6"/>
              </w:rPr>
              <w:t>Saída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45885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6"/>
              </w:rPr>
              <w:t>Regra principal</w:t>
            </w:r>
          </w:p>
        </w:tc>
      </w:tr>
      <w:tr>
        <w:trPr>
          <w:cantSplit/>
        </w:trPr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1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Conciliação de Receita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2: Razão Analítico + Journal Opera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Excel/PDF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Compara receita diária; Magna ignora somente Taxa de Turismo e Ajuste Taxa de Turismo.</w:t>
            </w:r>
          </w:p>
        </w:tc>
      </w:tr>
      <w:tr>
        <w:trPr>
          <w:cantSplit/>
        </w:trPr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2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Receita de Diárias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2: códigos de transação + Journal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Excel/PDF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Totaliza TRX_CODE; código 1011 é ignorado somente no Charme.</w:t>
            </w:r>
          </w:p>
        </w:tc>
      </w:tr>
      <w:tr>
        <w:trPr>
          <w:cantSplit/>
        </w:trPr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3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Folha de Pagamento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6 sem férias ou 7 com férias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Excel/CSV/PDF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Gera lançamentos CMFlex; recibo e líquido de férias são usados em conjunto.</w:t>
            </w:r>
          </w:p>
        </w:tc>
      </w:tr>
      <w:tr>
        <w:trPr>
          <w:cantSplit/>
        </w:trPr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4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Cupons x Conta do Hóspede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3: BI/PDV + Journal + de/para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Excel/PDF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Relaciona conta, CHECK#, data e valor; identifica período incompleto.</w:t>
            </w:r>
          </w:p>
        </w:tc>
      </w:tr>
      <w:tr>
        <w:trPr>
          <w:cantSplit/>
        </w:trPr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5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RPS de Serviços Prestados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3: Opera XML + Fiscal + Prefeitura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Excel/PDF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Confere RPS, situação e valor; reconhece perfis e descrições de serviços.</w:t>
            </w:r>
          </w:p>
        </w:tc>
      </w:tr>
      <w:tr>
        <w:trPr>
          <w:cantSplit/>
        </w:trPr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6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Relatório de Notas de Débito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1 ou mais planilhas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Excel/PDF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Consolida hotel, comprador, nota, emissão, item e valor.</w:t>
            </w:r>
          </w:p>
        </w:tc>
      </w:tr>
      <w:tr>
        <w:trPr>
          <w:cantSplit/>
        </w:trPr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7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Notas de Entrada em Atraso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2: Manifesto + Detalhe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Excel/PDF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Classifica prazo por UF e indica nota lançada ou não lançada.</w:t>
            </w:r>
          </w:p>
        </w:tc>
      </w:tr>
      <w:tr>
        <w:trPr>
          <w:cantSplit/>
        </w:trPr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8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Conferência dos Cupons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3: Simphony + Fiscal + SEFAZ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Excel/PDF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Confere NFC-e/NF-e; cancelado concilia com Fiscal/SEFAZ vazios ou zerados.</w:t>
            </w:r>
          </w:p>
        </w:tc>
      </w:tr>
      <w:tr>
        <w:trPr>
          <w:cantSplit/>
        </w:trPr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9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Notas de Serviços Tomados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CAP + ISS + 1 ou mais fontes externas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Excel/PDF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Confere CAP, fontes municipais/nacionais, BPM, hotel, valor e ISS retido.</w:t>
            </w:r>
          </w:p>
        </w:tc>
      </w:tr>
      <w:tr>
        <w:trPr>
          <w:cantSplit/>
        </w:trPr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10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Contas a Receber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6 relatórios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Excel/PDF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Clientes, notas a faturar e comissões; consolida todas as variações CVC.</w:t>
            </w:r>
          </w:p>
        </w:tc>
      </w:tr>
      <w:tr>
        <w:trPr>
          <w:cantSplit/>
        </w:trPr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11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Contas a Pagar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8 relatórios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Excel/PDF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Fornecedores, adiantamentos e IRRF/CSRF/ISS; consolida variações CVC.</w:t>
            </w:r>
          </w:p>
        </w:tc>
      </w:tr>
      <w:tr>
        <w:trPr>
          <w:cantSplit/>
        </w:trPr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12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CMV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4: CAP + Razão entradas + Inventário + Razão estoques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Excel/PDF</w:t>
            </w:r>
          </w:p>
        </w:tc>
        <w:tc>
          <w:tcPr>
            <w:tcW w:w="20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Entradas e saldo final são conferências independentes.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keepNext w:val="true"/>
        <w:keepLines w:val="false"/>
        <w:widowControl/>
        <w:spacing w:lineRule="auto" w:line="240" w:before="60" w:after="60"/>
        <w:rPr/>
      </w:pPr>
      <w:r>
        <w:rPr>
          <w:rFonts w:eastAsia="Arial"/>
          <w:b/>
          <w:i w:val="false"/>
          <w:color w:val="245885"/>
          <w:sz w:val="19"/>
        </w:rPr>
        <w:t>6.1 Conciliação de Receita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Arquivos — </w:t>
      </w:r>
      <w:r>
        <w:rPr>
          <w:rFonts w:eastAsia="Arial"/>
          <w:b w:val="false"/>
          <w:i w:val="false"/>
          <w:color w:val="000000"/>
          <w:sz w:val="18"/>
        </w:rPr>
        <w:t>Razão Analítico da Contabilidade e Journal de Receita do Opera.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Cálculo — </w:t>
      </w:r>
      <w:r>
        <w:rPr>
          <w:rFonts w:eastAsia="Arial"/>
          <w:b w:val="false"/>
          <w:i w:val="false"/>
          <w:color w:val="000000"/>
          <w:sz w:val="18"/>
        </w:rPr>
        <w:t>soma Movimento da Contabilidade e CASHIER_DEBIT do Opera por data; diferença = Contabilidade − Opera.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Período — </w:t>
      </w:r>
      <w:r>
        <w:rPr>
          <w:rFonts w:eastAsia="Arial"/>
          <w:b w:val="false"/>
          <w:i w:val="false"/>
          <w:color w:val="000000"/>
          <w:sz w:val="18"/>
        </w:rPr>
        <w:t>exibe todos os dias do mês predominante, inclusive dias zerados.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Exceção — </w:t>
      </w:r>
      <w:r>
        <w:rPr>
          <w:rFonts w:eastAsia="Arial"/>
          <w:b w:val="false"/>
          <w:i w:val="false"/>
          <w:color w:val="000000"/>
          <w:sz w:val="18"/>
        </w:rPr>
        <w:t>Magna desconsidera somente Ajuste Taxa de Turismo e Taxa de Turismo.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Resultado — </w:t>
      </w:r>
      <w:r>
        <w:rPr>
          <w:rFonts w:eastAsia="Arial"/>
          <w:b w:val="false"/>
          <w:i w:val="false"/>
          <w:color w:val="000000"/>
          <w:sz w:val="18"/>
        </w:rPr>
        <w:t>Conciliado até R$ 0,01; acima disso, Divergente. O sistema pode indicar descrições do Journal que formam a diferença.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Excel — </w:t>
      </w:r>
      <w:r>
        <w:rPr>
          <w:rFonts w:eastAsia="Arial"/>
          <w:b w:val="false"/>
          <w:i w:val="false"/>
          <w:color w:val="000000"/>
          <w:sz w:val="18"/>
        </w:rPr>
        <w:t>Resumo, Conciliação e cópias das duas planilhas-base.</w:t>
      </w:r>
    </w:p>
    <w:p>
      <w:pPr>
        <w:pStyle w:val="Normal"/>
        <w:keepNext w:val="true"/>
        <w:keepLines w:val="false"/>
        <w:widowControl/>
        <w:spacing w:lineRule="auto" w:line="240" w:before="60" w:after="60"/>
        <w:rPr/>
      </w:pPr>
      <w:r>
        <w:rPr>
          <w:rFonts w:eastAsia="Arial"/>
          <w:b/>
          <w:i w:val="false"/>
          <w:color w:val="245885"/>
          <w:sz w:val="19"/>
        </w:rPr>
        <w:t>6.2 Conciliação da Receita de Diárias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Arquivos — </w:t>
      </w:r>
      <w:r>
        <w:rPr>
          <w:rFonts w:eastAsia="Arial"/>
          <w:b w:val="false"/>
          <w:i w:val="false"/>
          <w:color w:val="000000"/>
          <w:sz w:val="18"/>
        </w:rPr>
        <w:t>planilha de Códigos de Transação e Journal de Receita do Opera.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Cálculo — </w:t>
      </w:r>
      <w:r>
        <w:rPr>
          <w:rFonts w:eastAsia="Arial"/>
          <w:b w:val="false"/>
          <w:i w:val="false"/>
          <w:color w:val="000000"/>
          <w:sz w:val="18"/>
        </w:rPr>
        <w:t>lê a aba do hotel e totaliza quantidade e CASHIER_DEBIT dos TRX_CODE de diária/diária média.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Sem movimento — </w:t>
      </w:r>
      <w:r>
        <w:rPr>
          <w:rFonts w:eastAsia="Arial"/>
          <w:b w:val="false"/>
          <w:i w:val="false"/>
          <w:color w:val="000000"/>
          <w:sz w:val="18"/>
        </w:rPr>
        <w:t>código parametrizado sem lançamento; é informativo.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Exceção — </w:t>
      </w:r>
      <w:r>
        <w:rPr>
          <w:rFonts w:eastAsia="Arial"/>
          <w:b w:val="false"/>
          <w:i w:val="false"/>
          <w:color w:val="000000"/>
          <w:sz w:val="18"/>
        </w:rPr>
        <w:t>o código 1011 é desconsiderado somente no Charme.</w:t>
      </w:r>
    </w:p>
    <w:p>
      <w:pPr>
        <w:pStyle w:val="Normal"/>
        <w:keepNext w:val="true"/>
        <w:keepLines w:val="false"/>
        <w:widowControl/>
        <w:spacing w:lineRule="auto" w:line="240" w:before="60" w:after="60"/>
        <w:rPr/>
      </w:pPr>
      <w:r>
        <w:rPr>
          <w:rFonts w:eastAsia="Arial"/>
          <w:b/>
          <w:i w:val="false"/>
          <w:color w:val="245885"/>
          <w:sz w:val="19"/>
        </w:rPr>
        <w:t>6.3 Lançamento da Folha de Pagamento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Sem férias — </w:t>
      </w:r>
      <w:r>
        <w:rPr>
          <w:rFonts w:eastAsia="Arial"/>
          <w:b w:val="false"/>
          <w:i w:val="false"/>
          <w:color w:val="000000"/>
          <w:sz w:val="18"/>
        </w:rPr>
        <w:t>6 arquivos: resumo mensal, INSS, FGTS, IRRF mensal, provisão de férias e provisão de 13º.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Com férias — </w:t>
      </w:r>
      <w:r>
        <w:rPr>
          <w:rFonts w:eastAsia="Arial"/>
          <w:b w:val="false"/>
          <w:i w:val="false"/>
          <w:color w:val="000000"/>
          <w:sz w:val="18"/>
        </w:rPr>
        <w:t>7 arquivos: resumo mensal, INSS, FGTS, recibo de férias, líquido de férias, provisão de férias e provisão de 13º.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Conjunto de férias — </w:t>
      </w:r>
      <w:r>
        <w:rPr>
          <w:rFonts w:eastAsia="Arial"/>
          <w:b w:val="false"/>
          <w:i w:val="false"/>
          <w:color w:val="000000"/>
          <w:sz w:val="18"/>
        </w:rPr>
        <w:t>recibo e líquido devem ser enviados juntos; o IRRF mensal não substitui esses relatórios.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Modelo — </w:t>
      </w:r>
      <w:r>
        <w:rPr>
          <w:rFonts w:eastAsia="Arial"/>
          <w:b w:val="false"/>
          <w:i w:val="false"/>
          <w:color w:val="000000"/>
          <w:sz w:val="18"/>
        </w:rPr>
        <w:t>usa assets/folha/modelo_folha.xlsm, salvo quando um modelo compatível acompanha o conjunto.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Exclusões — </w:t>
      </w:r>
      <w:r>
        <w:rPr>
          <w:rFonts w:eastAsia="Arial"/>
          <w:b w:val="false"/>
          <w:i w:val="false"/>
          <w:color w:val="000000"/>
          <w:sz w:val="18"/>
        </w:rPr>
        <w:t>REF PLANO ODONTOLÓGICO e REF PLANO DE SAÚDE não geram lançamento automático.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CSV — </w:t>
      </w:r>
      <w:r>
        <w:rPr>
          <w:rFonts w:eastAsia="Arial"/>
          <w:b w:val="false"/>
          <w:i w:val="false"/>
          <w:color w:val="000000"/>
          <w:sz w:val="18"/>
        </w:rPr>
        <w:t>13 campos, sem cabeçalho, separado por ponto e vírgula. Não abra e salve novamente no Excel.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Validação — </w:t>
      </w:r>
      <w:r>
        <w:rPr>
          <w:rFonts w:eastAsia="Arial"/>
          <w:b w:val="false"/>
          <w:i w:val="false"/>
          <w:color w:val="000000"/>
          <w:sz w:val="18"/>
        </w:rPr>
        <w:t>empresa, competência, totais, líquido, contas, centros de custo e qualquer De/para incompleto.</w:t>
      </w:r>
    </w:p>
    <w:p>
      <w:pPr>
        <w:pStyle w:val="Normal"/>
        <w:keepNext w:val="true"/>
        <w:keepLines w:val="false"/>
        <w:widowControl/>
        <w:spacing w:lineRule="auto" w:line="240" w:before="60" w:after="60"/>
        <w:rPr/>
      </w:pPr>
      <w:r>
        <w:rPr>
          <w:rFonts w:eastAsia="Arial"/>
          <w:b/>
          <w:i w:val="false"/>
          <w:color w:val="245885"/>
          <w:sz w:val="19"/>
        </w:rPr>
        <w:t>6.4 Cupons Emitidos x Conta do Hóspede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Arquivos — </w:t>
      </w:r>
      <w:r>
        <w:rPr>
          <w:rFonts w:eastAsia="Arial"/>
          <w:b w:val="false"/>
          <w:i w:val="false"/>
          <w:color w:val="000000"/>
          <w:sz w:val="18"/>
        </w:rPr>
        <w:t>BI/PDV, Journal do Opera e planilha de correspondência dos TRX_CODE.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Cálculo — </w:t>
      </w:r>
      <w:r>
        <w:rPr>
          <w:rFonts w:eastAsia="Arial"/>
          <w:b w:val="false"/>
          <w:i w:val="false"/>
          <w:color w:val="000000"/>
          <w:sz w:val="18"/>
        </w:rPr>
        <w:t>relaciona conta do PDV com CHECK#, compara data e valor líquido e procura valor em outra data quando seguro.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Situações — </w:t>
      </w:r>
      <w:r>
        <w:rPr>
          <w:rFonts w:eastAsia="Arial"/>
          <w:b w:val="false"/>
          <w:i w:val="false"/>
          <w:color w:val="000000"/>
          <w:sz w:val="18"/>
        </w:rPr>
        <w:t>Conciliado, data diferente, Não cobrado, Valor divergente, Lançado em outra data, Ausente na conta ou Journal não cobre a data.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Período incompleto — </w:t>
      </w:r>
      <w:r>
        <w:rPr>
          <w:rFonts w:eastAsia="Arial"/>
          <w:b w:val="false"/>
          <w:i w:val="false"/>
          <w:color w:val="000000"/>
          <w:sz w:val="18"/>
        </w:rPr>
        <w:t>gere outro Journal antes de concluir que existe erro.</w:t>
      </w:r>
    </w:p>
    <w:p>
      <w:pPr>
        <w:pStyle w:val="Normal"/>
        <w:keepNext w:val="true"/>
        <w:keepLines w:val="false"/>
        <w:widowControl/>
        <w:spacing w:lineRule="auto" w:line="240" w:before="60" w:after="60"/>
        <w:rPr/>
      </w:pPr>
      <w:r>
        <w:rPr>
          <w:rFonts w:eastAsia="Arial"/>
          <w:b/>
          <w:i w:val="false"/>
          <w:color w:val="245885"/>
          <w:sz w:val="19"/>
        </w:rPr>
        <w:t>6.5 RPS de Serviços Prestados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Arquivos — </w:t>
      </w:r>
      <w:r>
        <w:rPr>
          <w:rFonts w:eastAsia="Arial"/>
          <w:b w:val="false"/>
          <w:i w:val="false"/>
          <w:color w:val="000000"/>
          <w:sz w:val="18"/>
        </w:rPr>
        <w:t>XML do Opera, relatório Fiscal CMFlex e relatório da Prefeitura.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Cálculo — </w:t>
      </w:r>
      <w:r>
        <w:rPr>
          <w:rFonts w:eastAsia="Arial"/>
          <w:b w:val="false"/>
          <w:i w:val="false"/>
          <w:color w:val="000000"/>
          <w:sz w:val="18"/>
        </w:rPr>
        <w:t>compara RPS, data, tomador, situação e valor e identifica automaticamente o perfil de serviços.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Situações — </w:t>
      </w:r>
      <w:r>
        <w:rPr>
          <w:rFonts w:eastAsia="Arial"/>
          <w:b w:val="false"/>
          <w:i w:val="false"/>
          <w:color w:val="000000"/>
          <w:sz w:val="18"/>
        </w:rPr>
        <w:t>Conciliado, Ausente no Fiscal, Ausente na Prefeitura, Ausente no Opera, Valor divergente, Fora do período, Cancelado ou Inválido/irregular.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Descrições — </w:t>
      </w:r>
      <w:r>
        <w:rPr>
          <w:rFonts w:eastAsia="Arial"/>
          <w:b w:val="false"/>
          <w:i w:val="false"/>
          <w:color w:val="000000"/>
          <w:sz w:val="18"/>
        </w:rPr>
        <w:t>reconhece diárias, ajustes, early/late check, cama extra, hóspede adicional, serviços de porta/garçom, SPA, shooting, pulseira, chave, lanterna, rolha, toalha, ofurô, multas, bolsa Carmel e Diversos, com seus ajustes.</w:t>
      </w:r>
    </w:p>
    <w:p>
      <w:pPr>
        <w:pStyle w:val="Normal"/>
        <w:keepNext w:val="true"/>
        <w:keepLines w:val="false"/>
        <w:widowControl/>
        <w:spacing w:lineRule="auto" w:line="240" w:before="60" w:after="60"/>
        <w:rPr/>
      </w:pPr>
      <w:r>
        <w:rPr>
          <w:rFonts w:eastAsia="Arial"/>
          <w:b/>
          <w:i w:val="false"/>
          <w:color w:val="245885"/>
          <w:sz w:val="19"/>
        </w:rPr>
        <w:t>6.6 Relatório de Notas de Débito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Arquivos — </w:t>
      </w:r>
      <w:r>
        <w:rPr>
          <w:rFonts w:eastAsia="Arial"/>
          <w:b w:val="false"/>
          <w:i w:val="false"/>
          <w:color w:val="000000"/>
          <w:sz w:val="18"/>
        </w:rPr>
        <w:t>uma ou mais planilhas de notas de débito.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Resultado — </w:t>
      </w:r>
      <w:r>
        <w:rPr>
          <w:rFonts w:eastAsia="Arial"/>
          <w:b w:val="false"/>
          <w:i w:val="false"/>
          <w:color w:val="000000"/>
          <w:sz w:val="18"/>
        </w:rPr>
        <w:t>consolida hotel, comprador, número, emissão, item e valor em um relatório único.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Conferência — </w:t>
      </w:r>
      <w:r>
        <w:rPr>
          <w:rFonts w:eastAsia="Arial"/>
          <w:b w:val="false"/>
          <w:i w:val="false"/>
          <w:color w:val="000000"/>
          <w:sz w:val="18"/>
        </w:rPr>
        <w:t>valide se todas as planilhas pertencem ao mesmo conjunto antes de exportar.</w:t>
      </w:r>
    </w:p>
    <w:p>
      <w:pPr>
        <w:pStyle w:val="Normal"/>
        <w:keepNext w:val="true"/>
        <w:keepLines w:val="false"/>
        <w:widowControl/>
        <w:spacing w:lineRule="auto" w:line="240" w:before="60" w:after="60"/>
        <w:rPr/>
      </w:pPr>
      <w:r>
        <w:rPr>
          <w:rFonts w:eastAsia="Arial"/>
          <w:b/>
          <w:i w:val="false"/>
          <w:color w:val="245885"/>
          <w:sz w:val="19"/>
        </w:rPr>
        <w:t>6.7 Notas Fiscais de Entrada em Atraso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Arquivos — </w:t>
      </w:r>
      <w:r>
        <w:rPr>
          <w:rFonts w:eastAsia="Arial"/>
          <w:b w:val="false"/>
          <w:i w:val="false"/>
          <w:color w:val="000000"/>
          <w:sz w:val="18"/>
        </w:rPr>
        <w:t>Manifesto completo e Detalhe das notas recebidas/lançadas.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Relacionamento — </w:t>
      </w:r>
      <w:r>
        <w:rPr>
          <w:rFonts w:eastAsia="Arial"/>
          <w:b w:val="false"/>
          <w:i w:val="false"/>
          <w:color w:val="000000"/>
          <w:sz w:val="18"/>
        </w:rPr>
        <w:t>empresa e chave; quando há múltiplas entradas, usa a primeira data válida.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Ceará — </w:t>
      </w:r>
      <w:r>
        <w:rPr>
          <w:rFonts w:eastAsia="Arial"/>
          <w:b w:val="false"/>
          <w:i w:val="false"/>
          <w:color w:val="000000"/>
          <w:sz w:val="18"/>
        </w:rPr>
        <w:t>Em dia até 5 dias, Alerta de 6 a 10, Em atraso a partir de 11.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Outros estados — </w:t>
      </w:r>
      <w:r>
        <w:rPr>
          <w:rFonts w:eastAsia="Arial"/>
          <w:b w:val="false"/>
          <w:i w:val="false"/>
          <w:color w:val="000000"/>
          <w:sz w:val="18"/>
        </w:rPr>
        <w:t>Em dia até 19 dias, Alerta de 20 a 30, Em atraso acima de 30.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Sem entrada — </w:t>
      </w:r>
      <w:r>
        <w:rPr>
          <w:rFonts w:eastAsia="Arial"/>
          <w:b w:val="false"/>
          <w:i w:val="false"/>
          <w:color w:val="000000"/>
          <w:sz w:val="18"/>
        </w:rPr>
        <w:t>prazo calculado até a data atual.</w:t>
      </w:r>
    </w:p>
    <w:p>
      <w:pPr>
        <w:pStyle w:val="Normal"/>
        <w:keepNext w:val="true"/>
        <w:keepLines w:val="false"/>
        <w:widowControl/>
        <w:spacing w:lineRule="auto" w:line="240" w:before="60" w:after="60"/>
        <w:rPr/>
      </w:pPr>
      <w:r>
        <w:rPr>
          <w:rFonts w:eastAsia="Arial"/>
          <w:b/>
          <w:i w:val="false"/>
          <w:color w:val="245885"/>
          <w:sz w:val="19"/>
        </w:rPr>
        <w:t>6.8 Conferência dos Cupons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Arquivos — </w:t>
      </w:r>
      <w:r>
        <w:rPr>
          <w:rFonts w:eastAsia="Arial"/>
          <w:b w:val="false"/>
          <w:i w:val="false"/>
          <w:color w:val="000000"/>
          <w:sz w:val="18"/>
        </w:rPr>
        <w:t>Simphony, Fiscal CMFlex e SEFAZ para o mesmo período.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Status Simphony — </w:t>
      </w:r>
      <w:r>
        <w:rPr>
          <w:rFonts w:eastAsia="Arial"/>
          <w:b w:val="false"/>
          <w:i w:val="false"/>
          <w:color w:val="000000"/>
          <w:sz w:val="18"/>
        </w:rPr>
        <w:t>Aprovado, Cancelado ou Ausente.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Cancelado — </w:t>
      </w:r>
      <w:r>
        <w:rPr>
          <w:rFonts w:eastAsia="Arial"/>
          <w:b w:val="false"/>
          <w:i w:val="false"/>
          <w:color w:val="000000"/>
          <w:sz w:val="18"/>
        </w:rPr>
        <w:t>concilia quando Fiscal e SEFAZ estão vazios ou zerados; valor diferente de zero gera divergência de cancelamento.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Excel — </w:t>
      </w:r>
      <w:r>
        <w:rPr>
          <w:rFonts w:eastAsia="Arial"/>
          <w:b w:val="false"/>
          <w:i w:val="false"/>
          <w:color w:val="000000"/>
          <w:sz w:val="18"/>
        </w:rPr>
        <w:t>Resumo, Conciliação, Cupons_NFCe, Notas_NFe e cópias das três planilhas-base.</w:t>
      </w:r>
    </w:p>
    <w:p>
      <w:pPr>
        <w:pStyle w:val="Normal"/>
        <w:keepNext w:val="true"/>
        <w:keepLines w:val="false"/>
        <w:widowControl/>
        <w:spacing w:lineRule="auto" w:line="240" w:before="60" w:after="60"/>
        <w:rPr/>
      </w:pPr>
      <w:r>
        <w:rPr>
          <w:rFonts w:eastAsia="Arial"/>
          <w:b/>
          <w:i w:val="false"/>
          <w:color w:val="245885"/>
          <w:sz w:val="19"/>
        </w:rPr>
        <w:t>6.9 Notas de Serviços Tomados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Arquivos mínimos — </w:t>
      </w:r>
      <w:r>
        <w:rPr>
          <w:rFonts w:eastAsia="Arial"/>
          <w:b w:val="false"/>
          <w:i w:val="false"/>
          <w:color w:val="000000"/>
          <w:sz w:val="18"/>
        </w:rPr>
        <w:t>um CAP, um Alterador/ISS e uma ou mais fontes externas.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Fontes — </w:t>
      </w:r>
      <w:r>
        <w:rPr>
          <w:rFonts w:eastAsia="Arial"/>
          <w:b w:val="false"/>
          <w:i w:val="false"/>
          <w:color w:val="000000"/>
          <w:sz w:val="18"/>
        </w:rPr>
        <w:t>Portal Nacional, Prefeitura e relatórios municipais em Excel, XLS/HTML ou CSV compatível.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Cálculo — </w:t>
      </w:r>
      <w:r>
        <w:rPr>
          <w:rFonts w:eastAsia="Arial"/>
          <w:b w:val="false"/>
          <w:i w:val="false"/>
          <w:color w:val="000000"/>
          <w:sz w:val="18"/>
        </w:rPr>
        <w:t>consolida CNPJ, nota e valor; confere CAP, BPM, hotel, valor bruto, Prefeitura e ISS quando retido/aplicável.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Regras — </w:t>
      </w:r>
      <w:r>
        <w:rPr>
          <w:rFonts w:eastAsia="Arial"/>
          <w:b w:val="false"/>
          <w:i w:val="false"/>
          <w:color w:val="000000"/>
          <w:sz w:val="18"/>
        </w:rPr>
        <w:t xml:space="preserve">pequenas </w:t>
      </w:r>
      <w:r>
        <w:rPr>
          <w:rFonts w:eastAsia="Arial"/>
          <w:b w:val="false"/>
          <w:i w:val="false"/>
          <w:color w:val="000000"/>
          <w:sz w:val="18"/>
          <w:lang w:val="pt-BR" w:eastAsia="en-US" w:bidi="ar-SA"/>
        </w:rPr>
        <w:t>diferenças</w:t>
      </w:r>
      <w:r>
        <w:rPr>
          <w:rFonts w:eastAsia="Arial"/>
          <w:b w:val="false"/>
          <w:i w:val="false"/>
          <w:color w:val="000000"/>
          <w:sz w:val="18"/>
        </w:rPr>
        <w:t xml:space="preserve"> no prestador não divergem sozinhas; ISS retido = Não não exige ISS no CAP; São Paulo segue regra própria; somente Portal permanece Ausente na Prefeitura.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Excel — </w:t>
      </w:r>
      <w:r>
        <w:rPr>
          <w:rFonts w:eastAsia="Arial"/>
          <w:b w:val="false"/>
          <w:i w:val="false"/>
          <w:color w:val="000000"/>
          <w:sz w:val="18"/>
        </w:rPr>
        <w:t>Resumo, Pendências, Conciliadas e Base completa.</w:t>
      </w:r>
    </w:p>
    <w:p>
      <w:pPr>
        <w:pStyle w:val="Normal"/>
        <w:keepNext w:val="true"/>
        <w:keepLines w:val="false"/>
        <w:widowControl/>
        <w:spacing w:lineRule="auto" w:line="240" w:before="60" w:after="60"/>
        <w:rPr/>
      </w:pPr>
      <w:r>
        <w:rPr>
          <w:rFonts w:eastAsia="Arial"/>
          <w:b/>
          <w:i w:val="false"/>
          <w:color w:val="245885"/>
          <w:sz w:val="19"/>
        </w:rPr>
        <w:t>6.10 Conferência do Contas a Receber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Arquivos — </w:t>
      </w:r>
      <w:r>
        <w:rPr>
          <w:rFonts w:eastAsia="Arial"/>
          <w:b w:val="false"/>
          <w:i w:val="false"/>
          <w:color w:val="000000"/>
          <w:sz w:val="18"/>
        </w:rPr>
        <w:t>Balancete clientes, Posição cliente, Borderô, Razão notas a faturar, Agregados e Razão comissões.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Análises — </w:t>
      </w:r>
      <w:r>
        <w:rPr>
          <w:rFonts w:eastAsia="Arial"/>
          <w:b w:val="false"/>
          <w:i w:val="false"/>
          <w:color w:val="000000"/>
          <w:sz w:val="18"/>
        </w:rPr>
        <w:t>Clientes; Notas a faturar; Comissões. São blocos independentes.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CVC — </w:t>
      </w:r>
      <w:r>
        <w:rPr>
          <w:rFonts w:eastAsia="Arial"/>
          <w:b w:val="false"/>
          <w:i w:val="false"/>
          <w:color w:val="000000"/>
          <w:sz w:val="18"/>
        </w:rPr>
        <w:t>todas as variações CVC são consolidadas em um único total; BRT e BWT permanecem separados.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Excel — </w:t>
      </w:r>
      <w:r>
        <w:rPr>
          <w:rFonts w:eastAsia="Arial"/>
          <w:b w:val="false"/>
          <w:i w:val="false"/>
          <w:color w:val="000000"/>
          <w:sz w:val="18"/>
        </w:rPr>
        <w:t>Resumo, Clientes e cópias das seis planilhas-base; hotel no conteúdo e no nome.</w:t>
      </w:r>
    </w:p>
    <w:p>
      <w:pPr>
        <w:pStyle w:val="Normal"/>
        <w:keepNext w:val="true"/>
        <w:keepLines w:val="false"/>
        <w:widowControl/>
        <w:spacing w:lineRule="auto" w:line="240" w:before="60" w:after="60"/>
        <w:rPr/>
      </w:pPr>
      <w:r>
        <w:rPr>
          <w:rFonts w:eastAsia="Arial"/>
          <w:b/>
          <w:i w:val="false"/>
          <w:color w:val="245885"/>
          <w:sz w:val="19"/>
        </w:rPr>
        <w:t>6.11 Conferência do Contas a Pagar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Arquivos — </w:t>
      </w:r>
      <w:r>
        <w:rPr>
          <w:rFonts w:eastAsia="Arial"/>
          <w:b w:val="false"/>
          <w:i w:val="false"/>
          <w:color w:val="000000"/>
          <w:sz w:val="18"/>
        </w:rPr>
        <w:t>balancete e posição de fornecedores; balancete e posição de adiantamentos; agregados IRRF, CSRF e ISS; Razão de impostos.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Nomes — </w:t>
      </w:r>
      <w:r>
        <w:rPr>
          <w:rFonts w:eastAsia="Arial"/>
          <w:b w:val="false"/>
          <w:i w:val="false"/>
          <w:color w:val="000000"/>
          <w:sz w:val="18"/>
        </w:rPr>
        <w:t>os agregados devem conter IRRF, CSRF ou ISS no nome para distinguir layouts iguais.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Análises — </w:t>
      </w:r>
      <w:r>
        <w:rPr>
          <w:rFonts w:eastAsia="Arial"/>
          <w:b w:val="false"/>
          <w:i w:val="false"/>
          <w:color w:val="000000"/>
          <w:sz w:val="18"/>
        </w:rPr>
        <w:t>Fornecedores, Adiantamentos, IRRF, CSRF e ISS.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CVC — </w:t>
      </w:r>
      <w:r>
        <w:rPr>
          <w:rFonts w:eastAsia="Arial"/>
          <w:b w:val="false"/>
          <w:i w:val="false"/>
          <w:color w:val="000000"/>
          <w:sz w:val="18"/>
        </w:rPr>
        <w:t>variações CVC são somadas; BRT e BWT permanecem separados.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Excel — </w:t>
      </w:r>
      <w:r>
        <w:rPr>
          <w:rFonts w:eastAsia="Arial"/>
          <w:b w:val="false"/>
          <w:i w:val="false"/>
          <w:color w:val="000000"/>
          <w:sz w:val="18"/>
        </w:rPr>
        <w:t>Resumo, Fornecedores e Adiantamentos e cópias das oito planilhas-base; hotel no conteúdo e no nome.</w:t>
      </w:r>
    </w:p>
    <w:p>
      <w:pPr>
        <w:pStyle w:val="Normal"/>
        <w:keepNext w:val="true"/>
        <w:keepLines w:val="false"/>
        <w:widowControl/>
        <w:spacing w:lineRule="auto" w:line="240" w:before="60" w:after="60"/>
        <w:rPr/>
      </w:pPr>
      <w:r>
        <w:rPr>
          <w:rFonts w:eastAsia="Arial"/>
          <w:b/>
          <w:i w:val="false"/>
          <w:color w:val="245885"/>
          <w:sz w:val="19"/>
        </w:rPr>
        <w:t>6.12 Conferência do CMV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Arquivos — </w:t>
      </w:r>
      <w:r>
        <w:rPr>
          <w:rFonts w:eastAsia="Arial"/>
          <w:b w:val="false"/>
          <w:i w:val="false"/>
          <w:color w:val="000000"/>
          <w:sz w:val="18"/>
        </w:rPr>
        <w:t>Documentos Lançados CAP, Razão de entradas de estoque, Inventário físico/financeiro e Razão de estoques.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Entradas — </w:t>
      </w:r>
      <w:r>
        <w:rPr>
          <w:rFonts w:eastAsia="Arial"/>
          <w:b w:val="false"/>
          <w:i w:val="false"/>
          <w:color w:val="000000"/>
          <w:sz w:val="18"/>
        </w:rPr>
        <w:t>CAP x Contabilidade; considera históricos com Nota Fiscal, Mercadoria e Terceiros e exclui transferência, requisição, ajuste e integração de custo.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Saldo final — </w:t>
      </w:r>
      <w:r>
        <w:rPr>
          <w:rFonts w:eastAsia="Arial"/>
          <w:b w:val="false"/>
          <w:i w:val="false"/>
          <w:color w:val="000000"/>
          <w:sz w:val="18"/>
        </w:rPr>
        <w:t>Inventário x saldo final contábil; contas sem movimento continuam retornando o saldo final do Razão.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Separação — </w:t>
      </w:r>
      <w:r>
        <w:rPr>
          <w:rFonts w:eastAsia="Arial"/>
          <w:b w:val="false"/>
          <w:i w:val="false"/>
          <w:color w:val="000000"/>
          <w:sz w:val="18"/>
        </w:rPr>
        <w:t>Entradas e Saldo final são análises independentes e não devem ser somadas ou comparadas entre si.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/>
          <w:i w:val="false"/>
          <w:color w:val="000000"/>
          <w:sz w:val="18"/>
        </w:rPr>
        <w:t xml:space="preserve">Excel — </w:t>
      </w:r>
      <w:r>
        <w:rPr>
          <w:rFonts w:eastAsia="Arial"/>
          <w:b w:val="false"/>
          <w:i w:val="false"/>
          <w:color w:val="000000"/>
          <w:sz w:val="18"/>
        </w:rPr>
        <w:t>Entradas, Saldo final e cópias das quatro planilhas-base.</w:t>
      </w:r>
    </w:p>
    <w:p>
      <w:pPr>
        <w:pStyle w:val="Normal"/>
        <w:keepNext w:val="true"/>
        <w:spacing w:before="0" w:after="100"/>
        <w:rPr/>
      </w:pPr>
      <w:r>
        <w:rPr>
          <w:b/>
          <w:color w:val="245885"/>
          <w:sz w:val="22"/>
        </w:rPr>
        <w:t>6.13 ONDE ENCONTRAR OS DADOS DE ORIGEM</w:t>
      </w:r>
    </w:p>
    <w:p>
      <w:pPr>
        <w:pStyle w:val="Normal"/>
        <w:keepNext w:val="true"/>
        <w:spacing w:before="0" w:after="120"/>
        <w:rPr/>
      </w:pPr>
      <w:r>
        <w:rPr>
          <w:b w:val="false"/>
          <w:color w:val="202020"/>
          <w:sz w:val="17"/>
        </w:rPr>
        <w:t>Use esta referência para gerar o conjunto correto antes de clicar em Arquivos. Todos os relatórios devem pertencer ao mesmo hotel, empresa, competência e período.</w:t>
      </w:r>
    </w:p>
    <w:tbl>
      <w:tblPr>
        <w:tblStyle w:val="TableGrid"/>
        <w:tblW w:w="10450" w:type="dxa"/>
        <w:jc w:val="start"/>
        <w:tblInd w:w="0" w:type="dxa"/>
        <w:tblLayout w:type="fixed"/>
        <w:tblCellMar>
          <w:top w:w="90" w:type="dxa"/>
          <w:start w:w="100" w:type="dxa"/>
          <w:bottom w:w="90" w:type="dxa"/>
          <w:end w:w="100" w:type="dxa"/>
        </w:tblCellMar>
        <w:tblLook w:val="04a0" w:firstRow="1" w:noVBand="1" w:lastRow="0" w:firstColumn="1" w:lastColumn="0" w:noHBand="0"/>
      </w:tblPr>
      <w:tblGrid>
        <w:gridCol w:w="3600"/>
        <w:gridCol w:w="6850"/>
      </w:tblGrid>
      <w:tr>
        <w:trPr>
          <w:tblHeader w:val="true"/>
        </w:trPr>
        <w:tc>
          <w:tcPr>
            <w:tcW w:w="3600" w:type="dxa"/>
            <w:tcBorders/>
            <w:shd w:fill="245885" w:val="clear"/>
            <w:vAlign w:val="center"/>
          </w:tcPr>
          <w:p>
            <w:pPr>
              <w:pStyle w:val="Normal"/>
              <w:keepLines/>
              <w:spacing w:lineRule="auto" w:line="240" w:before="0" w:after="0"/>
              <w:jc w:val="start"/>
              <w:rPr/>
            </w:pPr>
            <w:r>
              <w:rPr>
                <w:b/>
                <w:color w:val="FFFFFF"/>
                <w:sz w:val="16"/>
              </w:rPr>
              <w:t>Atividade e finalidade</w:t>
            </w:r>
          </w:p>
        </w:tc>
        <w:tc>
          <w:tcPr>
            <w:tcW w:w="6850" w:type="dxa"/>
            <w:tcBorders/>
            <w:shd w:fill="245885" w:val="clear"/>
            <w:vAlign w:val="center"/>
          </w:tcPr>
          <w:p>
            <w:pPr>
              <w:pStyle w:val="Normal"/>
              <w:keepLines/>
              <w:spacing w:lineRule="auto" w:line="240" w:before="0" w:after="0"/>
              <w:jc w:val="start"/>
              <w:rPr/>
            </w:pPr>
            <w:r>
              <w:rPr>
                <w:b/>
                <w:color w:val="FFFFFF"/>
                <w:sz w:val="16"/>
              </w:rPr>
              <w:t>Onde obter os dados</w:t>
            </w:r>
          </w:p>
        </w:tc>
      </w:tr>
      <w:tr>
        <w:trPr>
          <w:cantSplit/>
        </w:trPr>
        <w:tc>
          <w:tcPr>
            <w:tcW w:w="3600" w:type="dxa"/>
            <w:tcBorders/>
            <w:shd w:fill="FFFFFF" w:val="clear"/>
            <w:vAlign w:val="center"/>
          </w:tcPr>
          <w:p>
            <w:pPr>
              <w:pStyle w:val="Normal"/>
              <w:keepLines/>
              <w:spacing w:lineRule="auto" w:line="240" w:before="0" w:after="0"/>
              <w:rPr/>
            </w:pPr>
            <w:r>
              <w:rPr>
                <w:b/>
                <w:color w:val="245885"/>
                <w:sz w:val="15"/>
              </w:rPr>
              <w:t>1. Conciliação da Receita</w:t>
            </w:r>
          </w:p>
          <w:p>
            <w:pPr>
              <w:pStyle w:val="Normal"/>
              <w:keepLines/>
              <w:spacing w:lineRule="auto" w:line="240" w:before="40" w:after="0"/>
              <w:rPr/>
            </w:pPr>
            <w:r>
              <w:rPr>
                <w:b w:val="false"/>
                <w:color w:val="202020"/>
                <w:sz w:val="15"/>
              </w:rPr>
              <w:t>Compara a receita registrada na Contabilidade com os lançamentos do Opera.</w:t>
            </w:r>
          </w:p>
        </w:tc>
        <w:tc>
          <w:tcPr>
            <w:tcW w:w="6850" w:type="dxa"/>
            <w:tcBorders/>
            <w:shd w:fill="FFFFFF" w:val="clear"/>
            <w:vAlign w:val="center"/>
          </w:tcPr>
          <w:p>
            <w:pPr>
              <w:pStyle w:val="Normal"/>
              <w:keepLines/>
              <w:spacing w:lineRule="auto" w:line="240" w:before="0" w:after="20"/>
              <w:rPr/>
            </w:pPr>
            <w:r>
              <w:rPr>
                <w:b/>
                <w:color w:val="245885"/>
                <w:sz w:val="15"/>
              </w:rPr>
              <w:t xml:space="preserve">CMFlex: </w:t>
            </w:r>
            <w:r>
              <w:rPr>
                <w:b w:val="false"/>
                <w:color w:val="202020"/>
                <w:sz w:val="15"/>
              </w:rPr>
              <w:t>Contabilidade &gt; Razão Analítico.</w:t>
            </w:r>
          </w:p>
          <w:p>
            <w:pPr>
              <w:pStyle w:val="Normal"/>
              <w:keepLines/>
              <w:spacing w:lineRule="auto" w:line="240" w:before="0" w:after="20"/>
              <w:rPr/>
            </w:pPr>
            <w:r>
              <w:rPr>
                <w:b/>
                <w:color w:val="245885"/>
                <w:sz w:val="15"/>
              </w:rPr>
              <w:t xml:space="preserve">Opera: </w:t>
            </w:r>
            <w:r>
              <w:rPr>
                <w:b w:val="false"/>
                <w:color w:val="202020"/>
                <w:sz w:val="15"/>
              </w:rPr>
              <w:t>Journal by Cashier and Transaction Code.</w:t>
            </w:r>
          </w:p>
        </w:tc>
      </w:tr>
      <w:tr>
        <w:trPr>
          <w:cantSplit/>
        </w:trPr>
        <w:tc>
          <w:tcPr>
            <w:tcW w:w="3600" w:type="dxa"/>
            <w:tcBorders/>
            <w:shd w:fill="F7F9FC" w:val="clear"/>
            <w:vAlign w:val="center"/>
          </w:tcPr>
          <w:p>
            <w:pPr>
              <w:pStyle w:val="Normal"/>
              <w:keepLines/>
              <w:spacing w:lineRule="auto" w:line="240" w:before="0" w:after="0"/>
              <w:rPr/>
            </w:pPr>
            <w:r>
              <w:rPr>
                <w:b/>
                <w:color w:val="245885"/>
                <w:sz w:val="15"/>
              </w:rPr>
              <w:t>2. Lançamento da Folha de Pagamento</w:t>
            </w:r>
          </w:p>
          <w:p>
            <w:pPr>
              <w:pStyle w:val="Normal"/>
              <w:keepLines/>
              <w:spacing w:lineRule="auto" w:line="240" w:before="40" w:after="0"/>
              <w:rPr/>
            </w:pPr>
            <w:r>
              <w:rPr>
                <w:b w:val="false"/>
                <w:color w:val="202020"/>
                <w:sz w:val="15"/>
              </w:rPr>
              <w:t>Consolida os relatórios da folha e gera os lançamentos conforme a parametrização.</w:t>
            </w:r>
          </w:p>
        </w:tc>
        <w:tc>
          <w:tcPr>
            <w:tcW w:w="6850" w:type="dxa"/>
            <w:tcBorders/>
            <w:shd w:fill="F7F9FC" w:val="clear"/>
            <w:vAlign w:val="center"/>
          </w:tcPr>
          <w:p>
            <w:pPr>
              <w:pStyle w:val="Normal"/>
              <w:keepLines/>
              <w:spacing w:lineRule="auto" w:line="240" w:before="0" w:after="20"/>
              <w:rPr/>
            </w:pPr>
            <w:r>
              <w:rPr>
                <w:b/>
                <w:color w:val="245885"/>
                <w:sz w:val="15"/>
              </w:rPr>
              <w:t xml:space="preserve">Questor: </w:t>
            </w:r>
            <w:r>
              <w:rPr>
                <w:b w:val="false"/>
                <w:color w:val="202020"/>
                <w:sz w:val="15"/>
              </w:rPr>
              <w:t>Líquido de Férias e Recibo de Férias, quando houver férias.</w:t>
            </w:r>
          </w:p>
          <w:p>
            <w:pPr>
              <w:pStyle w:val="Normal"/>
              <w:keepLines/>
              <w:spacing w:lineRule="auto" w:line="240" w:before="0" w:after="20"/>
              <w:rPr/>
            </w:pPr>
            <w:r>
              <w:rPr>
                <w:b/>
                <w:color w:val="245885"/>
                <w:sz w:val="15"/>
              </w:rPr>
              <w:t xml:space="preserve">Questor: </w:t>
            </w:r>
            <w:r>
              <w:rPr>
                <w:b w:val="false"/>
                <w:color w:val="202020"/>
                <w:sz w:val="15"/>
              </w:rPr>
              <w:t>Provisão de Férias, Provisão de 13º, Relação de FGTS, Relação de IRRF, Resumo da Folha e Resumo de INSS.</w:t>
            </w:r>
          </w:p>
        </w:tc>
      </w:tr>
      <w:tr>
        <w:trPr>
          <w:cantSplit/>
        </w:trPr>
        <w:tc>
          <w:tcPr>
            <w:tcW w:w="3600" w:type="dxa"/>
            <w:tcBorders/>
            <w:shd w:fill="FFFFFF" w:val="clear"/>
            <w:vAlign w:val="center"/>
          </w:tcPr>
          <w:p>
            <w:pPr>
              <w:pStyle w:val="Normal"/>
              <w:keepLines/>
              <w:spacing w:lineRule="auto" w:line="240" w:before="0" w:after="0"/>
              <w:rPr/>
            </w:pPr>
            <w:r>
              <w:rPr>
                <w:b/>
                <w:color w:val="245885"/>
                <w:sz w:val="15"/>
              </w:rPr>
              <w:t>3. Receita de Mercadorias com Cupons</w:t>
            </w:r>
          </w:p>
          <w:p>
            <w:pPr>
              <w:pStyle w:val="Normal"/>
              <w:keepLines/>
              <w:spacing w:lineRule="auto" w:line="240" w:before="40" w:after="0"/>
              <w:rPr/>
            </w:pPr>
            <w:r>
              <w:rPr>
                <w:b w:val="false"/>
                <w:color w:val="202020"/>
                <w:sz w:val="15"/>
              </w:rPr>
              <w:t>Compara as vendas e os cupons do PDV com os lançamentos da conta do hóspede.</w:t>
            </w:r>
          </w:p>
        </w:tc>
        <w:tc>
          <w:tcPr>
            <w:tcW w:w="6850" w:type="dxa"/>
            <w:tcBorders/>
            <w:shd w:fill="FFFFFF" w:val="clear"/>
            <w:vAlign w:val="center"/>
          </w:tcPr>
          <w:p>
            <w:pPr>
              <w:pStyle w:val="Normal"/>
              <w:keepLines/>
              <w:spacing w:lineRule="auto" w:line="240" w:before="0" w:after="20"/>
              <w:rPr/>
            </w:pPr>
            <w:r>
              <w:rPr>
                <w:b/>
                <w:color w:val="245885"/>
                <w:sz w:val="15"/>
              </w:rPr>
              <w:t xml:space="preserve">Opera: </w:t>
            </w:r>
            <w:r>
              <w:rPr>
                <w:b w:val="false"/>
                <w:color w:val="202020"/>
                <w:sz w:val="15"/>
              </w:rPr>
              <w:t>Journal by Cashier and Transaction Code.</w:t>
            </w:r>
          </w:p>
          <w:p>
            <w:pPr>
              <w:pStyle w:val="Normal"/>
              <w:keepLines/>
              <w:spacing w:lineRule="auto" w:line="240" w:before="0" w:after="20"/>
              <w:rPr/>
            </w:pPr>
            <w:r>
              <w:rPr>
                <w:b/>
                <w:color w:val="245885"/>
                <w:sz w:val="15"/>
              </w:rPr>
              <w:t xml:space="preserve">Parametrização: </w:t>
            </w:r>
            <w:r>
              <w:rPr>
                <w:b w:val="false"/>
                <w:color w:val="202020"/>
                <w:sz w:val="15"/>
              </w:rPr>
              <w:t>Planilha De/Para dos códigos de transação considerados.</w:t>
            </w:r>
          </w:p>
          <w:p>
            <w:pPr>
              <w:pStyle w:val="Normal"/>
              <w:keepLines/>
              <w:spacing w:lineRule="auto" w:line="240" w:before="0" w:after="20"/>
              <w:rPr/>
            </w:pPr>
            <w:r>
              <w:rPr>
                <w:b/>
                <w:color w:val="245885"/>
                <w:sz w:val="15"/>
              </w:rPr>
              <w:t xml:space="preserve">CMFlex: </w:t>
            </w:r>
            <w:r>
              <w:rPr>
                <w:b w:val="false"/>
                <w:color w:val="202020"/>
                <w:sz w:val="15"/>
              </w:rPr>
              <w:t>BI Dashboard &gt; Front-office/PDV.</w:t>
            </w:r>
          </w:p>
        </w:tc>
      </w:tr>
      <w:tr>
        <w:trPr>
          <w:cantSplit/>
        </w:trPr>
        <w:tc>
          <w:tcPr>
            <w:tcW w:w="3600" w:type="dxa"/>
            <w:tcBorders/>
            <w:shd w:fill="F7F9FC" w:val="clear"/>
            <w:vAlign w:val="center"/>
          </w:tcPr>
          <w:p>
            <w:pPr>
              <w:pStyle w:val="Normal"/>
              <w:keepLines/>
              <w:spacing w:lineRule="auto" w:line="240" w:before="0" w:after="0"/>
              <w:rPr/>
            </w:pPr>
            <w:r>
              <w:rPr>
                <w:b/>
                <w:color w:val="245885"/>
                <w:sz w:val="15"/>
              </w:rPr>
              <w:t>4. Notas Fiscais de Entrada em Atraso</w:t>
            </w:r>
          </w:p>
          <w:p>
            <w:pPr>
              <w:pStyle w:val="Normal"/>
              <w:keepLines/>
              <w:spacing w:lineRule="auto" w:line="240" w:before="40" w:after="0"/>
              <w:rPr/>
            </w:pPr>
            <w:r>
              <w:rPr>
                <w:b w:val="false"/>
                <w:color w:val="202020"/>
                <w:sz w:val="15"/>
              </w:rPr>
              <w:t>Identifica notas manifestadas que ainda não foram recebidas ou lançadas no prazo.</w:t>
            </w:r>
          </w:p>
        </w:tc>
        <w:tc>
          <w:tcPr>
            <w:tcW w:w="6850" w:type="dxa"/>
            <w:tcBorders/>
            <w:shd w:fill="F7F9FC" w:val="clear"/>
            <w:vAlign w:val="center"/>
          </w:tcPr>
          <w:p>
            <w:pPr>
              <w:pStyle w:val="Normal"/>
              <w:keepLines/>
              <w:spacing w:lineRule="auto" w:line="240" w:before="0" w:after="20"/>
              <w:rPr/>
            </w:pPr>
            <w:r>
              <w:rPr>
                <w:b/>
                <w:color w:val="245885"/>
                <w:sz w:val="15"/>
              </w:rPr>
              <w:t xml:space="preserve">Power BI: </w:t>
            </w:r>
            <w:r>
              <w:rPr>
                <w:b w:val="false"/>
                <w:color w:val="202020"/>
                <w:sz w:val="15"/>
              </w:rPr>
              <w:t>Dashboard Almoxarifado &gt; aba Notas Recebidas.</w:t>
            </w:r>
          </w:p>
          <w:p>
            <w:pPr>
              <w:pStyle w:val="Normal"/>
              <w:keepLines/>
              <w:spacing w:lineRule="auto" w:line="240" w:before="0" w:after="20"/>
              <w:rPr/>
            </w:pPr>
            <w:r>
              <w:rPr>
                <w:b/>
                <w:color w:val="245885"/>
                <w:sz w:val="15"/>
              </w:rPr>
              <w:t xml:space="preserve">CMFlex: </w:t>
            </w:r>
            <w:r>
              <w:rPr>
                <w:b w:val="false"/>
                <w:color w:val="202020"/>
                <w:sz w:val="15"/>
              </w:rPr>
              <w:t>Dashboard Manifesto das Notas Fiscais Eletrônicas.</w:t>
            </w:r>
          </w:p>
        </w:tc>
      </w:tr>
      <w:tr>
        <w:trPr>
          <w:cantSplit/>
        </w:trPr>
        <w:tc>
          <w:tcPr>
            <w:tcW w:w="3600" w:type="dxa"/>
            <w:tcBorders/>
            <w:shd w:fill="FFFFFF" w:val="clear"/>
            <w:vAlign w:val="center"/>
          </w:tcPr>
          <w:p>
            <w:pPr>
              <w:pStyle w:val="Normal"/>
              <w:keepLines/>
              <w:spacing w:lineRule="auto" w:line="240" w:before="0" w:after="0"/>
              <w:rPr/>
            </w:pPr>
            <w:r>
              <w:rPr>
                <w:b/>
                <w:color w:val="245885"/>
                <w:sz w:val="15"/>
              </w:rPr>
              <w:t>5. Conferência dos Cupons</w:t>
            </w:r>
          </w:p>
          <w:p>
            <w:pPr>
              <w:pStyle w:val="Normal"/>
              <w:keepLines/>
              <w:spacing w:lineRule="auto" w:line="240" w:before="40" w:after="0"/>
              <w:rPr/>
            </w:pPr>
            <w:r>
              <w:rPr>
                <w:b w:val="false"/>
                <w:color w:val="202020"/>
                <w:sz w:val="15"/>
              </w:rPr>
              <w:t>Confronta os cupons do Simphony com os registros Fiscal e SEFAZ.</w:t>
            </w:r>
          </w:p>
        </w:tc>
        <w:tc>
          <w:tcPr>
            <w:tcW w:w="6850" w:type="dxa"/>
            <w:tcBorders/>
            <w:shd w:fill="FFFFFF" w:val="clear"/>
            <w:vAlign w:val="center"/>
          </w:tcPr>
          <w:p>
            <w:pPr>
              <w:pStyle w:val="Normal"/>
              <w:keepLines/>
              <w:spacing w:lineRule="auto" w:line="240" w:before="0" w:after="20"/>
              <w:rPr/>
            </w:pPr>
            <w:r>
              <w:rPr>
                <w:b/>
                <w:color w:val="245885"/>
                <w:sz w:val="15"/>
              </w:rPr>
              <w:t xml:space="preserve">Simphony EMC: </w:t>
            </w:r>
            <w:r>
              <w:rPr>
                <w:b w:val="false"/>
                <w:color w:val="202020"/>
                <w:sz w:val="15"/>
              </w:rPr>
              <w:t>Comprovantes Fiscais do Brasil, com chave fiscal e arquivo de gravação.</w:t>
            </w:r>
          </w:p>
          <w:p>
            <w:pPr>
              <w:pStyle w:val="Normal"/>
              <w:keepLines/>
              <w:spacing w:lineRule="auto" w:line="240" w:before="0" w:after="20"/>
              <w:rPr/>
            </w:pPr>
            <w:r>
              <w:rPr>
                <w:b/>
                <w:color w:val="245885"/>
                <w:sz w:val="15"/>
              </w:rPr>
              <w:t xml:space="preserve">SIGA / SEFAZ-CE: </w:t>
            </w:r>
            <w:r>
              <w:rPr>
                <w:b w:val="false"/>
                <w:color w:val="202020"/>
                <w:sz w:val="15"/>
              </w:rPr>
              <w:t>Informações Fiscais &gt; aba NFC-e Emissor.</w:t>
            </w:r>
          </w:p>
          <w:p>
            <w:pPr>
              <w:pStyle w:val="Normal"/>
              <w:keepLines/>
              <w:spacing w:lineRule="auto" w:line="240" w:before="0" w:after="20"/>
              <w:rPr/>
            </w:pPr>
            <w:r>
              <w:rPr>
                <w:b/>
                <w:color w:val="245885"/>
                <w:sz w:val="15"/>
              </w:rPr>
              <w:t xml:space="preserve">CMFlex: </w:t>
            </w:r>
            <w:r>
              <w:rPr>
                <w:b w:val="false"/>
                <w:color w:val="202020"/>
                <w:sz w:val="15"/>
              </w:rPr>
              <w:t>Módulo Fiscal &gt; Registro de Saídas.</w:t>
            </w:r>
          </w:p>
        </w:tc>
      </w:tr>
      <w:tr>
        <w:trPr>
          <w:cantSplit/>
        </w:trPr>
        <w:tc>
          <w:tcPr>
            <w:tcW w:w="3600" w:type="dxa"/>
            <w:tcBorders/>
            <w:shd w:fill="F7F9FC" w:val="clear"/>
            <w:vAlign w:val="center"/>
          </w:tcPr>
          <w:p>
            <w:pPr>
              <w:pStyle w:val="Normal"/>
              <w:keepLines/>
              <w:spacing w:lineRule="auto" w:line="240" w:before="0" w:after="0"/>
              <w:rPr/>
            </w:pPr>
            <w:r>
              <w:rPr>
                <w:b/>
                <w:color w:val="245885"/>
                <w:sz w:val="15"/>
              </w:rPr>
              <w:t>6. RPS de Serviços Prestados</w:t>
            </w:r>
          </w:p>
          <w:p>
            <w:pPr>
              <w:pStyle w:val="Normal"/>
              <w:keepLines/>
              <w:spacing w:lineRule="auto" w:line="240" w:before="40" w:after="0"/>
              <w:rPr/>
            </w:pPr>
            <w:r>
              <w:rPr>
                <w:b w:val="false"/>
                <w:color w:val="202020"/>
                <w:sz w:val="15"/>
              </w:rPr>
              <w:t>Compara os serviços prestados entre Opera, Fiscal e Prefeitura.</w:t>
            </w:r>
          </w:p>
        </w:tc>
        <w:tc>
          <w:tcPr>
            <w:tcW w:w="6850" w:type="dxa"/>
            <w:tcBorders/>
            <w:shd w:fill="F7F9FC" w:val="clear"/>
            <w:vAlign w:val="center"/>
          </w:tcPr>
          <w:p>
            <w:pPr>
              <w:pStyle w:val="Normal"/>
              <w:keepLines/>
              <w:spacing w:lineRule="auto" w:line="240" w:before="0" w:after="20"/>
              <w:rPr/>
            </w:pPr>
            <w:r>
              <w:rPr>
                <w:b/>
                <w:color w:val="245885"/>
                <w:sz w:val="15"/>
              </w:rPr>
              <w:t xml:space="preserve">Prefeitura: </w:t>
            </w:r>
            <w:r>
              <w:rPr>
                <w:b w:val="false"/>
                <w:color w:val="202020"/>
                <w:sz w:val="15"/>
              </w:rPr>
              <w:t>Planilha de escrituração &gt; aba Prestados.</w:t>
            </w:r>
          </w:p>
          <w:p>
            <w:pPr>
              <w:pStyle w:val="Normal"/>
              <w:keepLines/>
              <w:spacing w:lineRule="auto" w:line="240" w:before="0" w:after="20"/>
              <w:rPr/>
            </w:pPr>
            <w:r>
              <w:rPr>
                <w:b/>
                <w:color w:val="245885"/>
                <w:sz w:val="15"/>
              </w:rPr>
              <w:t xml:space="preserve">CMFlex: </w:t>
            </w:r>
            <w:r>
              <w:rPr>
                <w:b w:val="false"/>
                <w:color w:val="202020"/>
                <w:sz w:val="15"/>
              </w:rPr>
              <w:t>Módulo Fiscal &gt; Registro de ISS de Serviços Prestados/Tomados.</w:t>
            </w:r>
          </w:p>
          <w:p>
            <w:pPr>
              <w:pStyle w:val="Normal"/>
              <w:keepLines/>
              <w:spacing w:lineRule="auto" w:line="240" w:before="0" w:after="20"/>
              <w:rPr/>
            </w:pPr>
            <w:r>
              <w:rPr>
                <w:b/>
                <w:color w:val="245885"/>
                <w:sz w:val="15"/>
              </w:rPr>
              <w:t xml:space="preserve">Opera: </w:t>
            </w:r>
            <w:r>
              <w:rPr>
                <w:b w:val="false"/>
                <w:color w:val="202020"/>
                <w:sz w:val="15"/>
              </w:rPr>
              <w:t>Arquivo XML dos RPS de serviços prestados.</w:t>
            </w:r>
          </w:p>
        </w:tc>
      </w:tr>
      <w:tr>
        <w:trPr>
          <w:cantSplit/>
        </w:trPr>
        <w:tc>
          <w:tcPr>
            <w:tcW w:w="3600" w:type="dxa"/>
            <w:tcBorders/>
            <w:shd w:fill="FFFFFF" w:val="clear"/>
            <w:vAlign w:val="center"/>
          </w:tcPr>
          <w:p>
            <w:pPr>
              <w:pStyle w:val="Normal"/>
              <w:keepLines/>
              <w:spacing w:lineRule="auto" w:line="240" w:before="0" w:after="0"/>
              <w:rPr/>
            </w:pPr>
            <w:r>
              <w:rPr>
                <w:b/>
                <w:color w:val="245885"/>
                <w:sz w:val="15"/>
              </w:rPr>
              <w:t>7. Notas de Serviços Tomados</w:t>
            </w:r>
          </w:p>
          <w:p>
            <w:pPr>
              <w:pStyle w:val="Normal"/>
              <w:keepLines/>
              <w:spacing w:lineRule="auto" w:line="240" w:before="40" w:after="0"/>
              <w:rPr/>
            </w:pPr>
            <w:r>
              <w:rPr>
                <w:b w:val="false"/>
                <w:color w:val="202020"/>
                <w:sz w:val="15"/>
              </w:rPr>
              <w:t>Consolida e compara CAP, ISS e documentos das fontes municipais e nacionais.</w:t>
            </w:r>
          </w:p>
        </w:tc>
        <w:tc>
          <w:tcPr>
            <w:tcW w:w="6850" w:type="dxa"/>
            <w:tcBorders/>
            <w:shd w:fill="FFFFFF" w:val="clear"/>
            <w:vAlign w:val="center"/>
          </w:tcPr>
          <w:p>
            <w:pPr>
              <w:pStyle w:val="Normal"/>
              <w:keepLines/>
              <w:spacing w:lineRule="auto" w:line="240" w:before="0" w:after="20"/>
              <w:rPr/>
            </w:pPr>
            <w:r>
              <w:rPr>
                <w:b/>
                <w:color w:val="245885"/>
                <w:sz w:val="15"/>
              </w:rPr>
              <w:t xml:space="preserve">Prefeitura: </w:t>
            </w:r>
            <w:r>
              <w:rPr>
                <w:b w:val="false"/>
                <w:color w:val="202020"/>
                <w:sz w:val="15"/>
              </w:rPr>
              <w:t>Planilha de escrituração &gt; abas Prestados e Tomados.</w:t>
            </w:r>
          </w:p>
          <w:p>
            <w:pPr>
              <w:pStyle w:val="Normal"/>
              <w:keepLines/>
              <w:spacing w:lineRule="auto" w:line="240" w:before="0" w:after="20"/>
              <w:rPr/>
            </w:pPr>
            <w:r>
              <w:rPr>
                <w:b/>
                <w:color w:val="245885"/>
                <w:sz w:val="15"/>
              </w:rPr>
              <w:t xml:space="preserve">Portal Nacional NFS-e: </w:t>
            </w:r>
            <w:r>
              <w:rPr>
                <w:b w:val="false"/>
                <w:color w:val="202020"/>
                <w:sz w:val="15"/>
              </w:rPr>
              <w:t>Notas Fiscais de Serviço Eletrônicas &gt; aba Notas Recebidas.</w:t>
            </w:r>
          </w:p>
          <w:p>
            <w:pPr>
              <w:pStyle w:val="Normal"/>
              <w:keepLines/>
              <w:spacing w:lineRule="auto" w:line="240" w:before="0" w:after="20"/>
              <w:rPr/>
            </w:pPr>
            <w:r>
              <w:rPr>
                <w:b/>
                <w:color w:val="245885"/>
                <w:sz w:val="15"/>
              </w:rPr>
              <w:t xml:space="preserve">CMFlex: </w:t>
            </w:r>
            <w:r>
              <w:rPr>
                <w:b w:val="false"/>
                <w:color w:val="202020"/>
                <w:sz w:val="15"/>
              </w:rPr>
              <w:t>Contas a Pagar &gt; Alteradores Lançados &gt; tipo ISS Retido.</w:t>
            </w:r>
          </w:p>
          <w:p>
            <w:pPr>
              <w:pStyle w:val="Normal"/>
              <w:keepLines/>
              <w:spacing w:lineRule="auto" w:line="240" w:before="0" w:after="20"/>
              <w:rPr/>
            </w:pPr>
            <w:r>
              <w:rPr>
                <w:b/>
                <w:color w:val="245885"/>
                <w:sz w:val="15"/>
              </w:rPr>
              <w:t xml:space="preserve">CMFlex: </w:t>
            </w:r>
            <w:r>
              <w:rPr>
                <w:b w:val="false"/>
                <w:color w:val="202020"/>
                <w:sz w:val="15"/>
              </w:rPr>
              <w:t>Contas a Pagar &gt; Lançamento de Documento &gt; tipo Nota Fiscal de Serviço.</w:t>
            </w:r>
          </w:p>
        </w:tc>
      </w:tr>
      <w:tr>
        <w:trPr>
          <w:cantSplit/>
        </w:trPr>
        <w:tc>
          <w:tcPr>
            <w:tcW w:w="3600" w:type="dxa"/>
            <w:tcBorders/>
            <w:shd w:fill="F7F9FC" w:val="clear"/>
            <w:vAlign w:val="center"/>
          </w:tcPr>
          <w:p>
            <w:pPr>
              <w:pStyle w:val="Normal"/>
              <w:keepLines/>
              <w:spacing w:lineRule="auto" w:line="240" w:before="0" w:after="0"/>
              <w:rPr/>
            </w:pPr>
            <w:r>
              <w:rPr>
                <w:b/>
                <w:color w:val="245885"/>
                <w:sz w:val="15"/>
              </w:rPr>
              <w:t>8. Conferência do Contas a Receber</w:t>
            </w:r>
          </w:p>
          <w:p>
            <w:pPr>
              <w:pStyle w:val="Normal"/>
              <w:keepLines/>
              <w:spacing w:lineRule="auto" w:line="240" w:before="40" w:after="0"/>
              <w:rPr/>
            </w:pPr>
            <w:r>
              <w:rPr>
                <w:b w:val="false"/>
                <w:color w:val="202020"/>
                <w:sz w:val="15"/>
              </w:rPr>
              <w:t>Compara clientes, notas a faturar e comissões entre Contabilidade e Financeiro.</w:t>
            </w:r>
          </w:p>
        </w:tc>
        <w:tc>
          <w:tcPr>
            <w:tcW w:w="6850" w:type="dxa"/>
            <w:tcBorders/>
            <w:shd w:fill="F7F9FC" w:val="clear"/>
            <w:vAlign w:val="center"/>
          </w:tcPr>
          <w:p>
            <w:pPr>
              <w:pStyle w:val="Normal"/>
              <w:keepLines/>
              <w:spacing w:lineRule="auto" w:line="240" w:before="0" w:after="20"/>
              <w:rPr/>
            </w:pPr>
            <w:r>
              <w:rPr>
                <w:b/>
                <w:color w:val="245885"/>
                <w:sz w:val="15"/>
              </w:rPr>
              <w:t xml:space="preserve">CMFlex: </w:t>
            </w:r>
            <w:r>
              <w:rPr>
                <w:b w:val="false"/>
                <w:color w:val="202020"/>
                <w:sz w:val="15"/>
              </w:rPr>
              <w:t>Contabilidade &gt; Balancete por Subconta &gt; Cartão Rede e Faturas.</w:t>
            </w:r>
          </w:p>
          <w:p>
            <w:pPr>
              <w:pStyle w:val="Normal"/>
              <w:keepLines/>
              <w:spacing w:lineRule="auto" w:line="240" w:before="0" w:after="20"/>
              <w:rPr/>
            </w:pPr>
            <w:r>
              <w:rPr>
                <w:b/>
                <w:color w:val="245885"/>
                <w:sz w:val="15"/>
              </w:rPr>
              <w:t xml:space="preserve">CMFlex: </w:t>
            </w:r>
            <w:r>
              <w:rPr>
                <w:b w:val="false"/>
                <w:color w:val="202020"/>
                <w:sz w:val="15"/>
              </w:rPr>
              <w:t>Contabilidade &gt; Razão &gt; Notas a Faturar e Comissão de Cartão de Crédito.</w:t>
            </w:r>
          </w:p>
          <w:p>
            <w:pPr>
              <w:pStyle w:val="Normal"/>
              <w:keepLines/>
              <w:spacing w:lineRule="auto" w:line="240" w:before="0" w:after="20"/>
              <w:rPr/>
            </w:pPr>
            <w:r>
              <w:rPr>
                <w:b/>
                <w:color w:val="245885"/>
                <w:sz w:val="15"/>
              </w:rPr>
              <w:t xml:space="preserve">CMFlex: </w:t>
            </w:r>
            <w:r>
              <w:rPr>
                <w:b w:val="false"/>
                <w:color w:val="202020"/>
                <w:sz w:val="15"/>
              </w:rPr>
              <w:t>Contas a Receber &gt; Agregados Lançados &gt; comissões, ajustes e Taxa Cartão Rede.</w:t>
            </w:r>
          </w:p>
          <w:p>
            <w:pPr>
              <w:pStyle w:val="Normal"/>
              <w:keepLines/>
              <w:spacing w:lineRule="auto" w:line="240" w:before="0" w:after="20"/>
              <w:rPr/>
            </w:pPr>
            <w:r>
              <w:rPr>
                <w:b/>
                <w:color w:val="245885"/>
                <w:sz w:val="15"/>
              </w:rPr>
              <w:t xml:space="preserve">CMFlex: </w:t>
            </w:r>
            <w:r>
              <w:rPr>
                <w:b w:val="false"/>
                <w:color w:val="202020"/>
                <w:sz w:val="15"/>
              </w:rPr>
              <w:t>Integração Front-Office &gt; Borderô Analítico de Lançamentos PMS &gt; códigos de Notas a Faturar.</w:t>
            </w:r>
          </w:p>
          <w:p>
            <w:pPr>
              <w:pStyle w:val="Normal"/>
              <w:keepLines/>
              <w:spacing w:lineRule="auto" w:line="240" w:before="0" w:after="20"/>
              <w:rPr/>
            </w:pPr>
            <w:r>
              <w:rPr>
                <w:b/>
                <w:color w:val="245885"/>
                <w:sz w:val="15"/>
              </w:rPr>
              <w:t xml:space="preserve">CMFlex: </w:t>
            </w:r>
            <w:r>
              <w:rPr>
                <w:b w:val="false"/>
                <w:color w:val="202020"/>
                <w:sz w:val="15"/>
              </w:rPr>
              <w:t>Contas a Receber &gt; Posição por Cliente &gt; Faturas, Cartão Rede, Cartão e Cartão Stone.</w:t>
            </w:r>
          </w:p>
        </w:tc>
      </w:tr>
      <w:tr>
        <w:trPr>
          <w:cantSplit/>
        </w:trPr>
        <w:tc>
          <w:tcPr>
            <w:tcW w:w="3600" w:type="dxa"/>
            <w:tcBorders/>
            <w:shd w:fill="FFFFFF" w:val="clear"/>
            <w:vAlign w:val="center"/>
          </w:tcPr>
          <w:p>
            <w:pPr>
              <w:pStyle w:val="Normal"/>
              <w:keepLines/>
              <w:spacing w:lineRule="auto" w:line="240" w:before="0" w:after="0"/>
              <w:rPr/>
            </w:pPr>
            <w:r>
              <w:rPr>
                <w:b/>
                <w:color w:val="245885"/>
                <w:sz w:val="15"/>
              </w:rPr>
              <w:t>9. Conferência do Contas a Pagar</w:t>
            </w:r>
          </w:p>
          <w:p>
            <w:pPr>
              <w:pStyle w:val="Normal"/>
              <w:keepLines/>
              <w:spacing w:lineRule="auto" w:line="240" w:before="40" w:after="0"/>
              <w:rPr/>
            </w:pPr>
            <w:r>
              <w:rPr>
                <w:b w:val="false"/>
                <w:color w:val="202020"/>
                <w:sz w:val="15"/>
              </w:rPr>
              <w:t>Compara fornecedores, adiantamentos e impostos retidos entre Contabilidade e Financeiro.</w:t>
            </w:r>
          </w:p>
        </w:tc>
        <w:tc>
          <w:tcPr>
            <w:tcW w:w="6850" w:type="dxa"/>
            <w:tcBorders/>
            <w:shd w:fill="FFFFFF" w:val="clear"/>
            <w:vAlign w:val="center"/>
          </w:tcPr>
          <w:p>
            <w:pPr>
              <w:pStyle w:val="Normal"/>
              <w:keepLines/>
              <w:spacing w:lineRule="auto" w:line="240" w:before="0" w:after="20"/>
              <w:rPr/>
            </w:pPr>
            <w:r>
              <w:rPr>
                <w:b/>
                <w:color w:val="245885"/>
                <w:sz w:val="15"/>
              </w:rPr>
              <w:t xml:space="preserve">CMFlex: </w:t>
            </w:r>
            <w:r>
              <w:rPr>
                <w:b w:val="false"/>
                <w:color w:val="202020"/>
                <w:sz w:val="15"/>
              </w:rPr>
              <w:t>Contabilidade &gt; Balancete por Subconta &gt; Fornecedores e Adiantamento a Fornecedores.</w:t>
            </w:r>
          </w:p>
          <w:p>
            <w:pPr>
              <w:pStyle w:val="Normal"/>
              <w:keepLines/>
              <w:spacing w:lineRule="auto" w:line="240" w:before="0" w:after="20"/>
              <w:rPr/>
            </w:pPr>
            <w:r>
              <w:rPr>
                <w:b/>
                <w:color w:val="245885"/>
                <w:sz w:val="15"/>
              </w:rPr>
              <w:t xml:space="preserve">CMFlex: </w:t>
            </w:r>
            <w:r>
              <w:rPr>
                <w:b w:val="false"/>
                <w:color w:val="202020"/>
                <w:sz w:val="15"/>
              </w:rPr>
              <w:t>Contas a Pagar &gt; Posição por Fornecedor.</w:t>
            </w:r>
          </w:p>
          <w:p>
            <w:pPr>
              <w:pStyle w:val="Normal"/>
              <w:keepLines/>
              <w:spacing w:lineRule="auto" w:line="240" w:before="0" w:after="20"/>
              <w:rPr/>
            </w:pPr>
            <w:r>
              <w:rPr>
                <w:b/>
                <w:color w:val="245885"/>
                <w:sz w:val="15"/>
              </w:rPr>
              <w:t xml:space="preserve">CMFlex: </w:t>
            </w:r>
            <w:r>
              <w:rPr>
                <w:b w:val="false"/>
                <w:color w:val="202020"/>
                <w:sz w:val="15"/>
              </w:rPr>
              <w:t>Contas a Pagar &gt; Adiantamentos em Aberto.</w:t>
            </w:r>
          </w:p>
          <w:p>
            <w:pPr>
              <w:pStyle w:val="Normal"/>
              <w:keepLines/>
              <w:spacing w:lineRule="auto" w:line="240" w:before="0" w:after="20"/>
              <w:rPr/>
            </w:pPr>
            <w:r>
              <w:rPr>
                <w:b/>
                <w:color w:val="245885"/>
                <w:sz w:val="15"/>
              </w:rPr>
              <w:t xml:space="preserve">CMFlex: </w:t>
            </w:r>
            <w:r>
              <w:rPr>
                <w:b w:val="false"/>
                <w:color w:val="202020"/>
                <w:sz w:val="15"/>
              </w:rPr>
              <w:t>Contabilidade &gt; Razão Analítico &gt; IRRF sobre serviços, ISS Retido e Lei 10.833 (PIS/COFINS/CSLL).</w:t>
            </w:r>
          </w:p>
          <w:p>
            <w:pPr>
              <w:pStyle w:val="Normal"/>
              <w:keepLines/>
              <w:spacing w:lineRule="auto" w:line="240" w:before="0" w:after="20"/>
              <w:rPr/>
            </w:pPr>
            <w:r>
              <w:rPr>
                <w:b/>
                <w:color w:val="245885"/>
                <w:sz w:val="15"/>
              </w:rPr>
              <w:t xml:space="preserve">CMFlex: </w:t>
            </w:r>
            <w:r>
              <w:rPr>
                <w:b w:val="false"/>
                <w:color w:val="202020"/>
                <w:sz w:val="15"/>
              </w:rPr>
              <w:t>Contas a Pagar &gt; Alteradores Lançados &gt; IRRF, CSRF e ISS.</w:t>
            </w:r>
          </w:p>
        </w:tc>
      </w:tr>
      <w:tr>
        <w:trPr>
          <w:cantSplit/>
        </w:trPr>
        <w:tc>
          <w:tcPr>
            <w:tcW w:w="3600" w:type="dxa"/>
            <w:tcBorders/>
            <w:shd w:fill="F7F9FC" w:val="clear"/>
            <w:vAlign w:val="center"/>
          </w:tcPr>
          <w:p>
            <w:pPr>
              <w:pStyle w:val="Normal"/>
              <w:keepLines/>
              <w:spacing w:lineRule="auto" w:line="240" w:before="0" w:after="0"/>
              <w:rPr/>
            </w:pPr>
            <w:r>
              <w:rPr>
                <w:b/>
                <w:color w:val="245885"/>
                <w:sz w:val="15"/>
              </w:rPr>
              <w:t>10. Conferência do CMV</w:t>
            </w:r>
          </w:p>
          <w:p>
            <w:pPr>
              <w:pStyle w:val="Normal"/>
              <w:keepLines/>
              <w:spacing w:lineRule="auto" w:line="240" w:before="40" w:after="0"/>
              <w:rPr/>
            </w:pPr>
            <w:r>
              <w:rPr>
                <w:b w:val="false"/>
                <w:color w:val="202020"/>
                <w:sz w:val="15"/>
              </w:rPr>
              <w:t>Executa separadamente a conferência das entradas e a conferência do saldo final de estoque.</w:t>
            </w:r>
          </w:p>
        </w:tc>
        <w:tc>
          <w:tcPr>
            <w:tcW w:w="6850" w:type="dxa"/>
            <w:tcBorders/>
            <w:shd w:fill="F7F9FC" w:val="clear"/>
            <w:vAlign w:val="center"/>
          </w:tcPr>
          <w:p>
            <w:pPr>
              <w:pStyle w:val="Normal"/>
              <w:keepLines/>
              <w:spacing w:lineRule="auto" w:line="240" w:before="0" w:after="20"/>
              <w:rPr/>
            </w:pPr>
            <w:r>
              <w:rPr>
                <w:b/>
                <w:color w:val="245885"/>
                <w:sz w:val="15"/>
              </w:rPr>
              <w:t xml:space="preserve">CMFlex: </w:t>
            </w:r>
            <w:r>
              <w:rPr>
                <w:b w:val="false"/>
                <w:color w:val="202020"/>
                <w:sz w:val="15"/>
              </w:rPr>
              <w:t>Contas a Pagar &gt; Documentos Lançados por Tipo de Desembolso e Centro de Custo.</w:t>
            </w:r>
          </w:p>
          <w:p>
            <w:pPr>
              <w:pStyle w:val="Normal"/>
              <w:keepLines/>
              <w:spacing w:lineRule="auto" w:line="240" w:before="0" w:after="20"/>
              <w:rPr/>
            </w:pPr>
            <w:r>
              <w:rPr>
                <w:b/>
                <w:color w:val="245885"/>
                <w:sz w:val="15"/>
              </w:rPr>
              <w:t xml:space="preserve">CMFlex: </w:t>
            </w:r>
            <w:r>
              <w:rPr>
                <w:b w:val="false"/>
                <w:color w:val="202020"/>
                <w:sz w:val="15"/>
              </w:rPr>
              <w:t>Contabilidade &gt; Razão Analítico &gt; Estoque de Produtos, antes da integração de custos.</w:t>
            </w:r>
          </w:p>
          <w:p>
            <w:pPr>
              <w:pStyle w:val="Normal"/>
              <w:keepLines/>
              <w:spacing w:lineRule="auto" w:line="240" w:before="0" w:after="20"/>
              <w:rPr/>
            </w:pPr>
            <w:r>
              <w:rPr>
                <w:b/>
                <w:color w:val="245885"/>
                <w:sz w:val="15"/>
              </w:rPr>
              <w:t xml:space="preserve">CMFlex: </w:t>
            </w:r>
            <w:r>
              <w:rPr>
                <w:b w:val="false"/>
                <w:color w:val="202020"/>
                <w:sz w:val="15"/>
              </w:rPr>
              <w:t>Almoxarifado &gt; Inventário Físico e Financeiro.</w:t>
            </w:r>
          </w:p>
          <w:p>
            <w:pPr>
              <w:pStyle w:val="Normal"/>
              <w:keepLines/>
              <w:spacing w:lineRule="auto" w:line="240" w:before="0" w:after="20"/>
              <w:rPr/>
            </w:pPr>
            <w:r>
              <w:rPr>
                <w:b/>
                <w:color w:val="245885"/>
                <w:sz w:val="15"/>
              </w:rPr>
              <w:t xml:space="preserve">CMFlex: </w:t>
            </w:r>
            <w:r>
              <w:rPr>
                <w:b w:val="false"/>
                <w:color w:val="202020"/>
                <w:sz w:val="15"/>
              </w:rPr>
              <w:t>Contabilidade &gt; Razão Analítico &gt; Estoque de Produtos, depois da integração de custos.</w:t>
            </w:r>
          </w:p>
        </w:tc>
      </w:tr>
      <w:tr>
        <w:trPr>
          <w:cantSplit/>
        </w:trPr>
        <w:tc>
          <w:tcPr>
            <w:tcW w:w="3600" w:type="dxa"/>
            <w:tcBorders/>
            <w:shd w:fill="FFFFFF" w:val="clear"/>
            <w:vAlign w:val="center"/>
          </w:tcPr>
          <w:p>
            <w:pPr>
              <w:pStyle w:val="Normal"/>
              <w:keepLines/>
              <w:spacing w:lineRule="auto" w:line="240" w:before="0" w:after="0"/>
              <w:rPr/>
            </w:pPr>
            <w:r>
              <w:rPr>
                <w:b/>
                <w:color w:val="245885"/>
                <w:sz w:val="15"/>
              </w:rPr>
              <w:t>11. Receita de Diárias - Comercial</w:t>
            </w:r>
          </w:p>
          <w:p>
            <w:pPr>
              <w:pStyle w:val="Normal"/>
              <w:keepLines/>
              <w:spacing w:lineRule="auto" w:line="240" w:before="40" w:after="0"/>
              <w:rPr/>
            </w:pPr>
            <w:r>
              <w:rPr>
                <w:b w:val="false"/>
                <w:color w:val="202020"/>
                <w:sz w:val="15"/>
              </w:rPr>
              <w:t>Totaliza as diárias do Opera conforme os códigos de transação parametrizados.</w:t>
            </w:r>
          </w:p>
        </w:tc>
        <w:tc>
          <w:tcPr>
            <w:tcW w:w="6850" w:type="dxa"/>
            <w:tcBorders/>
            <w:shd w:fill="FFFFFF" w:val="clear"/>
            <w:vAlign w:val="center"/>
          </w:tcPr>
          <w:p>
            <w:pPr>
              <w:pStyle w:val="Normal"/>
              <w:keepLines/>
              <w:spacing w:lineRule="auto" w:line="240" w:before="0" w:after="20"/>
              <w:rPr/>
            </w:pPr>
            <w:r>
              <w:rPr>
                <w:b/>
                <w:color w:val="245885"/>
                <w:sz w:val="15"/>
              </w:rPr>
              <w:t xml:space="preserve">Opera: </w:t>
            </w:r>
            <w:r>
              <w:rPr>
                <w:b w:val="false"/>
                <w:color w:val="202020"/>
                <w:sz w:val="15"/>
              </w:rPr>
              <w:t>Journal by Cashier and Transaction Code.</w:t>
            </w:r>
          </w:p>
          <w:p>
            <w:pPr>
              <w:pStyle w:val="Normal"/>
              <w:keepLines/>
              <w:spacing w:lineRule="auto" w:line="240" w:before="0" w:after="20"/>
              <w:rPr/>
            </w:pPr>
            <w:r>
              <w:rPr>
                <w:b/>
                <w:color w:val="245885"/>
                <w:sz w:val="15"/>
              </w:rPr>
              <w:t xml:space="preserve">Parametrização: </w:t>
            </w:r>
            <w:r>
              <w:rPr>
                <w:b w:val="false"/>
                <w:color w:val="202020"/>
                <w:sz w:val="15"/>
              </w:rPr>
              <w:t>Planilha De/Para dos códigos de transação considerados.</w:t>
            </w:r>
          </w:p>
        </w:tc>
      </w:tr>
      <w:tr>
        <w:trPr>
          <w:cantSplit/>
        </w:trPr>
        <w:tc>
          <w:tcPr>
            <w:tcW w:w="3600" w:type="dxa"/>
            <w:tcBorders/>
            <w:shd w:fill="F7F9FC" w:val="clear"/>
            <w:vAlign w:val="center"/>
          </w:tcPr>
          <w:p>
            <w:pPr>
              <w:pStyle w:val="Normal"/>
              <w:keepLines/>
              <w:spacing w:lineRule="auto" w:line="240" w:before="0" w:after="0"/>
              <w:rPr/>
            </w:pPr>
            <w:r>
              <w:rPr>
                <w:b/>
                <w:color w:val="245885"/>
                <w:sz w:val="15"/>
              </w:rPr>
              <w:t>Relatório de Notas de Débito</w:t>
            </w:r>
          </w:p>
          <w:p>
            <w:pPr>
              <w:pStyle w:val="Normal"/>
              <w:keepLines/>
              <w:spacing w:lineRule="auto" w:line="240" w:before="40" w:after="0"/>
              <w:rPr/>
            </w:pPr>
            <w:r>
              <w:rPr>
                <w:b w:val="false"/>
                <w:color w:val="202020"/>
                <w:sz w:val="15"/>
              </w:rPr>
              <w:t>Consolida em uma única saída as planilhas de notas de débito recebidas.</w:t>
            </w:r>
          </w:p>
        </w:tc>
        <w:tc>
          <w:tcPr>
            <w:tcW w:w="6850" w:type="dxa"/>
            <w:tcBorders/>
            <w:shd w:fill="F7F9FC" w:val="clear"/>
            <w:vAlign w:val="center"/>
          </w:tcPr>
          <w:p>
            <w:pPr>
              <w:pStyle w:val="Normal"/>
              <w:keepLines/>
              <w:spacing w:lineRule="auto" w:line="240" w:before="0" w:after="20"/>
              <w:rPr/>
            </w:pPr>
            <w:r>
              <w:rPr>
                <w:b/>
                <w:color w:val="245885"/>
                <w:sz w:val="15"/>
              </w:rPr>
              <w:t xml:space="preserve">Área responsável: </w:t>
            </w:r>
            <w:r>
              <w:rPr>
                <w:b w:val="false"/>
                <w:color w:val="202020"/>
                <w:sz w:val="15"/>
              </w:rPr>
              <w:t>Planilhas de notas de débito do conjunto a consolidar. A planilha de referência não informa sistema ou menu de extração.</w:t>
            </w:r>
          </w:p>
        </w:tc>
      </w:tr>
    </w:tbl>
    <w:p>
      <w:pPr>
        <w:pStyle w:val="Normal"/>
        <w:spacing w:before="100" w:after="120"/>
        <w:rPr/>
      </w:pPr>
      <w:r>
        <w:rPr>
          <w:b/>
          <w:color w:val="245885"/>
          <w:sz w:val="15"/>
        </w:rPr>
        <w:t xml:space="preserve">Referência: </w:t>
      </w:r>
      <w:r>
        <w:rPr>
          <w:b w:val="false"/>
          <w:color w:val="555555"/>
          <w:sz w:val="15"/>
        </w:rPr>
        <w:t>Serviços automatizados Contabilidade.xlsx, fornecida pela área contábil em 27/08/2026. Os nomes foram padronizados para leitura, sem alterar a finalidade das fontes informadas.</w:t>
      </w:r>
    </w:p>
    <w:p>
      <w:pPr>
        <w:pStyle w:val="Normal"/>
        <w:keepNext w:val="true"/>
        <w:keepLines w:val="false"/>
        <w:widowControl/>
        <w:spacing w:lineRule="auto" w:line="240" w:before="120" w:after="60"/>
        <w:rPr/>
      </w:pPr>
      <w:r>
        <w:rPr>
          <w:rFonts w:eastAsia="Arial"/>
          <w:b/>
          <w:i w:val="false"/>
          <w:color w:val="245885"/>
          <w:sz w:val="22"/>
        </w:rPr>
        <w:t>7. EXPORTAÇÕES</w:t>
      </w:r>
    </w:p>
    <w:tbl>
      <w:tblPr>
        <w:tblW w:w="1044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83"/>
        <w:gridCol w:w="3483"/>
        <w:gridCol w:w="3483"/>
      </w:tblGrid>
      <w:tr>
        <w:trPr>
          <w:tblHeader w:val="true"/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45885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6"/>
              </w:rPr>
              <w:t>Formato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45885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6"/>
              </w:rPr>
              <w:t>Uso recomendado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45885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6"/>
              </w:rPr>
              <w:t>Cuidados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Excel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Auditoria, filtros e consulta detalhada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As abas-base preservam valores, mas não garantem macros, objetos, fórmulas ou aparência integral.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PDF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Leitura rápida, aprovação e compartilhamento de resumo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Para investigar uma linha, use o Excel.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CSV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Importação da Folha no CMFlex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Valide antes de importar; não salve novamente no Excel.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keepLines w:val="false"/>
        <w:widowControl/>
        <w:spacing w:lineRule="auto" w:line="240" w:before="0" w:after="40"/>
        <w:rPr/>
      </w:pPr>
      <w:r>
        <w:rPr>
          <w:rFonts w:eastAsia="Arial"/>
          <w:b w:val="false"/>
          <w:i w:val="false"/>
          <w:color w:val="000000"/>
          <w:sz w:val="18"/>
        </w:rPr>
        <w:t>Nas atividades com seletor, o hotel aparece no conteúdo e no nome: receita_&lt;hotel&gt;_resultado, diarias_&lt;hotel&gt;_resultado, cupons_&lt;hotel&gt;_resultado, receber_&lt;hotel&gt;_resultado e pagar_&lt;hotel&gt;_resultado. Se estiver errado, refaça a análise com o hotel correto; não renomeie apenas o arquivo.</w:t>
      </w:r>
    </w:p>
    <w:p>
      <w:pPr>
        <w:pStyle w:val="Normal"/>
        <w:keepNext w:val="true"/>
        <w:keepLines w:val="false"/>
        <w:widowControl/>
        <w:spacing w:lineRule="auto" w:line="240" w:before="120" w:after="60"/>
        <w:rPr/>
      </w:pPr>
      <w:r>
        <w:rPr>
          <w:rFonts w:eastAsia="Arial"/>
          <w:b/>
          <w:i w:val="false"/>
          <w:color w:val="245885"/>
          <w:sz w:val="22"/>
        </w:rPr>
        <w:t>8. MENSAGENS E CORREÇÕES</w:t>
      </w:r>
    </w:p>
    <w:tbl>
      <w:tblPr>
        <w:tblW w:w="1044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3483"/>
        <w:gridCol w:w="3483"/>
        <w:gridCol w:w="3483"/>
      </w:tblGrid>
      <w:tr>
        <w:trPr>
          <w:tblHeader w:val="true"/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45885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6"/>
              </w:rPr>
              <w:t>Mensagem/situação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45885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6"/>
              </w:rPr>
              <w:t>Causa provável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45885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6"/>
              </w:rPr>
              <w:t>O que fazer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Arquivo não reconhecido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Atividade errada, cabeçalho alterado, arquivo incompleto ou formato diferente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Gere novamente e selecione o conjunto correto em uma operação.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Colunas obrigatórias não encontradas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Layout sem os campos esperados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Não crie colunas manualmente; exporte novamente a fonte oficial.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Formato não reconhecido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Extensão/conteúdo incompatível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Confirme o formato; XLS que seja apenas página web deve ser exportado como planilha completa.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Faltam arquivos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Quantidade ou tipo insuficiente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Confira Arquivos necessários e carregue todo o conjunto junto.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Dois arquivos do mesmo tipo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Duplicidade ou ausência de outra fonte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Remova a duplicidade e gere a fonte que falta.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Período incompleto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Uma fonte não cobre todas as datas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Gere todos os relatórios para o mesmo intervalo.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Nenhum registro utilizável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Arquivo vazio, filtrado ou sem lançamentos reconhecidos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Revise período, filtros e tipo do relatório.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Tabela vazia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Filtro/pesquisa ocultou linhas ou resultado é zero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Escolha Todos, limpe a pesquisa e confira os indicadores.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Erro ao exportar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Arquivo aberto ou pasta sem permissão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Feche o destino, escolha outra pasta e tente novamente.</w:t>
            </w:r>
          </w:p>
        </w:tc>
      </w:tr>
      <w:tr>
        <w:trPr>
          <w:cantSplit/>
        </w:trPr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Conjunto excede o limite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Quantidade ou tamanho acima do servidor</w:t>
            </w:r>
          </w:p>
        </w:tc>
        <w:tc>
          <w:tcPr>
            <w:tcW w:w="34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Não divida uma conferência obrigatoriamente conjunta; solicite revisão do limite.</w:t>
            </w:r>
          </w:p>
        </w:tc>
      </w:tr>
    </w:tbl>
    <w:p>
      <w:pPr>
        <w:pStyle w:val="Normal"/>
        <w:spacing w:before="0" w:after="0"/>
        <w:rPr/>
      </w:pPr>
      <w:r>
        <w:rPr/>
      </w:r>
    </w:p>
    <w:p>
      <w:pPr>
        <w:pStyle w:val="Normal"/>
        <w:keepNext w:val="true"/>
        <w:keepLines w:val="false"/>
        <w:widowControl/>
        <w:spacing w:lineRule="auto" w:line="240" w:before="120" w:after="60"/>
        <w:rPr/>
      </w:pPr>
      <w:r>
        <w:rPr>
          <w:rFonts w:eastAsia="Arial"/>
          <w:b/>
          <w:i w:val="false"/>
          <w:color w:val="245885"/>
          <w:sz w:val="22"/>
        </w:rPr>
        <w:t>9. SEGURANÇA E ENCERRAMENTO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O HERMES não possui banco de dados nem histórico de conferências.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Uploads e resultados de exportação são temporários e removidos após o uso.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Nas atividades com abas-base, o último conjunto permanece somente na memória da sessão até Limpar, substituição, troca de atividade ou encerramento/expiração.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O arquivo baixado permanece no local escolhido pelo usuário; salve-o em pasta com acesso controlado.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Clique em Limpar, feche a página e remova cópias locais desnecessárias conforme a política da empresa.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Não compartilhe dados fiscais, trabalhistas, financeiros ou de hóspedes por canais não autorizados.</w:t>
      </w:r>
    </w:p>
    <w:p>
      <w:pPr>
        <w:pStyle w:val="Normal"/>
        <w:keepNext w:val="true"/>
        <w:keepLines w:val="false"/>
        <w:widowControl/>
        <w:spacing w:lineRule="auto" w:line="240" w:before="120" w:after="60"/>
        <w:rPr/>
      </w:pPr>
      <w:r>
        <w:rPr>
          <w:rFonts w:eastAsia="Arial"/>
          <w:b/>
          <w:i w:val="false"/>
          <w:color w:val="245885"/>
          <w:sz w:val="22"/>
        </w:rPr>
        <w:t>10. CHECKLIST DO USUÁRIO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Hotel, empresa e período estão corretos.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Todos os arquivos solicitados foram reconhecidos.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Resumo e fontes comparadas correspondem à atividade.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Linhas vermelhas foram conferidas nas fontes oficiais.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Linhas amarelas foram interpretadas conforme a regra da atividade.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Hotel no conteúdo e no nome exportado está correto.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Abas-base esperadas estão presentes.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Na Folha, o CSV foi validado antes da importação.</w:t>
      </w:r>
    </w:p>
    <w:p>
      <w:pPr>
        <w:pStyle w:val="Normal"/>
        <w:keepLines w:val="false"/>
        <w:widowControl/>
        <w:spacing w:lineRule="auto" w:line="240" w:before="0" w:after="20"/>
        <w:ind w:hanging="198" w:start="312"/>
        <w:rPr/>
      </w:pPr>
      <w:r>
        <w:rPr>
          <w:rFonts w:eastAsia="Arial"/>
          <w:b w:val="false"/>
          <w:i w:val="false"/>
          <w:color w:val="000000"/>
          <w:sz w:val="18"/>
        </w:rPr>
        <w:t xml:space="preserve">• </w:t>
      </w:r>
      <w:r>
        <w:rPr>
          <w:rFonts w:eastAsia="Arial"/>
          <w:b w:val="false"/>
          <w:i w:val="false"/>
          <w:color w:val="000000"/>
          <w:sz w:val="18"/>
        </w:rPr>
        <w:t>Resultado foi salvo em pasta autorizada e a tela foi limpa.</w:t>
      </w:r>
    </w:p>
    <w:p>
      <w:pPr>
        <w:pStyle w:val="Normal"/>
        <w:keepNext w:val="true"/>
        <w:keepLines w:val="false"/>
        <w:widowControl/>
        <w:spacing w:lineRule="auto" w:line="240" w:before="120" w:after="60"/>
        <w:rPr/>
      </w:pPr>
      <w:r>
        <w:rPr>
          <w:rFonts w:eastAsia="Arial"/>
          <w:b/>
          <w:i w:val="false"/>
          <w:color w:val="245885"/>
          <w:sz w:val="22"/>
        </w:rPr>
        <w:t>11. SUPORTE</w:t>
      </w:r>
    </w:p>
    <w:p>
      <w:pPr>
        <w:pStyle w:val="Normal"/>
        <w:keepLines w:val="false"/>
        <w:widowControl/>
        <w:spacing w:lineRule="auto" w:line="240" w:before="0" w:after="40"/>
        <w:rPr/>
      </w:pPr>
      <w:r>
        <w:rPr>
          <w:rFonts w:eastAsia="Arial"/>
          <w:b w:val="false"/>
          <w:i w:val="false"/>
          <w:color w:val="000000"/>
          <w:sz w:val="18"/>
        </w:rPr>
        <w:t>Abra chamado no canal definido pela TI e informe: automação, hotel, período, nomes dos arquivos, mensagem completa, um identificador de exemplo (nota, cupom, RPS, cliente, fornecedor ou conta) e o Excel exportado quando permitido. Não envie senha nem dados sensíveis fora de canais autorizados.</w:t>
      </w:r>
    </w:p>
    <w:p>
      <w:pPr>
        <w:pStyle w:val="Normal"/>
        <w:keepNext w:val="true"/>
        <w:keepLines w:val="false"/>
        <w:widowControl/>
        <w:spacing w:lineRule="auto" w:line="240" w:before="120" w:after="60"/>
        <w:rPr>
          <w:rFonts w:ascii="Arial" w:hAnsi="Arial" w:eastAsia="Arial"/>
          <w:b/>
          <w:i w:val="false"/>
          <w:color w:val="245885"/>
          <w:sz w:val="22"/>
        </w:rPr>
      </w:pPr>
      <w:r>
        <w:rPr>
          <w:rFonts w:eastAsia="Arial"/>
          <w:b/>
          <w:i w:val="false"/>
          <w:color w:val="245885"/>
          <w:sz w:val="22"/>
        </w:rPr>
      </w:r>
    </w:p>
    <w:p>
      <w:pPr>
        <w:pStyle w:val="Normal"/>
        <w:keepNext w:val="true"/>
        <w:keepLines w:val="false"/>
        <w:widowControl/>
        <w:spacing w:lineRule="auto" w:line="240" w:before="120" w:after="60"/>
        <w:rPr/>
      </w:pPr>
      <w:r>
        <w:rPr>
          <w:rFonts w:eastAsia="Arial"/>
          <w:b/>
          <w:i w:val="false"/>
          <w:color w:val="245885"/>
          <w:sz w:val="22"/>
        </w:rPr>
        <w:t>12. APROVAÇÃO</w:t>
      </w:r>
    </w:p>
    <w:tbl>
      <w:tblPr>
        <w:tblW w:w="10449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2612"/>
        <w:gridCol w:w="2612"/>
        <w:gridCol w:w="2612"/>
        <w:gridCol w:w="2613"/>
      </w:tblGrid>
      <w:tr>
        <w:trPr>
          <w:tblHeader w:val="true"/>
          <w:cantSplit/>
        </w:trPr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45885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6"/>
              </w:rPr>
              <w:t>Etapa</w:t>
            </w:r>
          </w:p>
        </w:tc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45885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6"/>
              </w:rPr>
              <w:t>Responsável</w:t>
            </w:r>
          </w:p>
        </w:tc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45885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6"/>
              </w:rPr>
              <w:t>Data</w:t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245885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jc w:val="center"/>
              <w:rPr/>
            </w:pPr>
            <w:r>
              <w:rPr>
                <w:rFonts w:eastAsia="Arial"/>
                <w:b/>
                <w:i w:val="false"/>
                <w:color w:val="FFFFFF"/>
                <w:sz w:val="16"/>
              </w:rPr>
              <w:t>Assinatura / aceite</w:t>
            </w:r>
          </w:p>
        </w:tc>
      </w:tr>
      <w:tr>
        <w:trPr>
          <w:cantSplit/>
        </w:trPr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Elaboração técnica</w:t>
            </w:r>
          </w:p>
        </w:tc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Tecnologia da Informação</w:t>
            </w:r>
          </w:p>
        </w:tc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Validação do manual</w:t>
            </w:r>
          </w:p>
        </w:tc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 definir — área usuária</w:t>
            </w:r>
          </w:p>
        </w:tc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Aprovação técnica</w:t>
            </w:r>
          </w:p>
        </w:tc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 definir — Coordenação de TI</w:t>
            </w:r>
          </w:p>
        </w:tc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/>
            </w:r>
          </w:p>
        </w:tc>
      </w:tr>
      <w:tr>
        <w:trPr>
          <w:cantSplit/>
        </w:trPr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Publicação</w:t>
            </w:r>
          </w:p>
        </w:tc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>
                <w:rFonts w:eastAsia="Arial"/>
                <w:b w:val="false"/>
                <w:i w:val="false"/>
                <w:color w:val="000000"/>
                <w:sz w:val="16"/>
              </w:rPr>
              <w:t>A definir — Qualidade / SGI</w:t>
            </w:r>
          </w:p>
        </w:tc>
        <w:tc>
          <w:tcPr>
            <w:tcW w:w="26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/>
            </w:r>
          </w:p>
        </w:tc>
        <w:tc>
          <w:tcPr>
            <w:tcW w:w="26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8F8F8" w:val="clear"/>
            <w:vAlign w:val="center"/>
          </w:tcPr>
          <w:p>
            <w:pPr>
              <w:pStyle w:val="Normal"/>
              <w:keepLines w:val="false"/>
              <w:widowControl/>
              <w:spacing w:lineRule="auto" w:line="240" w:before="0" w:after="0"/>
              <w:rPr/>
            </w:pPr>
            <w:r>
              <w:rPr/>
            </w:r>
          </w:p>
        </w:tc>
      </w:tr>
    </w:tbl>
    <w:p>
      <w:pPr>
        <w:pStyle w:val="Normal"/>
        <w:spacing w:before="0" w:after="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009" w:right="448" w:gutter="0" w:header="227" w:top="2269" w:footer="227" w:bottom="44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Lines w:val="false"/>
      <w:widowControl/>
      <w:spacing w:lineRule="auto" w:line="240" w:before="0" w:after="0"/>
      <w:jc w:val="center"/>
      <w:rPr/>
    </w:pPr>
    <w:r>
      <w:rPr>
        <w:rFonts w:eastAsia="Arial"/>
        <w:b/>
        <w:i w:val="false"/>
        <w:color w:val="000000"/>
        <w:sz w:val="17"/>
      </w:rPr>
      <w:t>Antes de imprimir, pense se é realmente necessário. O meio ambiente agradece ♻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keepLines w:val="false"/>
      <w:widowControl/>
      <w:spacing w:lineRule="auto" w:line="240" w:before="0" w:after="0"/>
      <w:jc w:val="center"/>
      <w:rPr/>
    </w:pPr>
    <w:r>
      <w:rPr>
        <w:rFonts w:eastAsia="Arial"/>
        <w:b/>
        <w:i w:val="false"/>
        <w:color w:val="000000"/>
        <w:sz w:val="17"/>
      </w:rPr>
      <w:t>Antes de imprimir, pense se é realmente necessário. O meio ambiente agradece ♻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/>
    </w:pPr>
    <w:r>
      <w:rPr/>
    </w:r>
  </w:p>
  <w:tbl>
    <w:tblPr>
      <w:tblW w:w="10773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firstRow="1" w:noVBand="1" w:lastRow="0" w:firstColumn="1" w:lastColumn="0" w:noHBand="0"/>
    </w:tblPr>
    <w:tblGrid>
      <w:gridCol w:w="3591"/>
      <w:gridCol w:w="3591"/>
      <w:gridCol w:w="3591"/>
    </w:tblGrid>
    <w:tr>
      <w:trPr>
        <w:trHeight w:val="1701" w:hRule="atLeast"/>
      </w:trPr>
      <w:tc>
        <w:tcPr>
          <w:tcW w:w="359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keepLines w:val="false"/>
            <w:widowControl/>
            <w:spacing w:lineRule="auto" w:line="240" w:before="0" w:after="0"/>
            <w:jc w:val="center"/>
            <w:rPr/>
          </w:pPr>
          <w:r>
            <w:rPr/>
            <w:drawing>
              <wp:inline distT="0" distB="0" distL="0" distR="0">
                <wp:extent cx="1224280" cy="523875"/>
                <wp:effectExtent l="0" t="0" r="0" b="0"/>
                <wp:docPr id="1" name="Picture 1" descr="Logotipo Carmel Hotéis" title="Carmel Hoté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Logotipo Carmel Hotéis" title="Carmel Hotéi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4280" cy="5238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keepLines w:val="false"/>
            <w:widowControl/>
            <w:spacing w:lineRule="auto" w:line="240" w:before="0" w:after="0"/>
            <w:jc w:val="center"/>
            <w:rPr/>
          </w:pPr>
          <w:r>
            <w:rPr>
              <w:rFonts w:eastAsia="Arial"/>
              <w:b/>
              <w:i w:val="false"/>
              <w:color w:val="000000"/>
              <w:sz w:val="26"/>
            </w:rPr>
            <w:t>MANUAL DO USUÁRIO — HERMES</w:t>
          </w:r>
        </w:p>
      </w:tc>
      <w:tc>
        <w:tcPr>
          <w:tcW w:w="359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tbl>
          <w:tblPr>
            <w:tblW w:w="2381" w:type="dxa"/>
            <w:jc w:val="center"/>
            <w:tblInd w:w="0" w:type="dxa"/>
            <w:tblLayout w:type="fixed"/>
            <w:tblCellMar>
              <w:top w:w="0" w:type="dxa"/>
              <w:start w:w="108" w:type="dxa"/>
              <w:bottom w:w="0" w:type="dxa"/>
              <w:end w:w="108" w:type="dxa"/>
            </w:tblCellMar>
            <w:tblLook w:val="04a0" w:firstRow="1" w:noVBand="1" w:lastRow="0" w:firstColumn="1" w:lastColumn="0" w:noHBand="0"/>
          </w:tblPr>
          <w:tblGrid>
            <w:gridCol w:w="2381"/>
          </w:tblGrid>
          <w:tr>
            <w:trPr>
              <w:trHeight w:val="425" w:hRule="atLeast"/>
            </w:trPr>
            <w:tc>
              <w:tcPr>
                <w:tcW w:w="2381" w:type="dxa"/>
                <w:tcBorders>
                  <w:top w:val="single" w:sz="4" w:space="0" w:color="000000"/>
                  <w:start w:val="single" w:sz="4" w:space="0" w:color="000000"/>
                  <w:bottom w:val="single" w:sz="4" w:space="0" w:color="000000"/>
                  <w:end w:val="single" w:sz="4" w:space="0" w:color="000000"/>
                </w:tcBorders>
              </w:tcPr>
              <w:p>
                <w:pPr>
                  <w:pStyle w:val="Normal"/>
                  <w:keepLines w:val="false"/>
                  <w:widowControl/>
                  <w:spacing w:lineRule="auto" w:line="240" w:before="0" w:after="0"/>
                  <w:rPr/>
                </w:pPr>
                <w:r>
                  <w:rPr>
                    <w:rFonts w:eastAsia="Arial"/>
                    <w:b w:val="false"/>
                    <w:i w:val="false"/>
                    <w:color w:val="000000"/>
                    <w:sz w:val="17"/>
                  </w:rPr>
                  <w:t>Código: MNU-TIC-HERMES</w:t>
                </w:r>
              </w:p>
            </w:tc>
          </w:tr>
          <w:tr>
            <w:trPr>
              <w:trHeight w:val="425" w:hRule="atLeast"/>
            </w:trPr>
            <w:tc>
              <w:tcPr>
                <w:tcW w:w="2381" w:type="dxa"/>
                <w:tcBorders>
                  <w:top w:val="single" w:sz="4" w:space="0" w:color="000000"/>
                  <w:start w:val="single" w:sz="4" w:space="0" w:color="000000"/>
                  <w:bottom w:val="single" w:sz="4" w:space="0" w:color="000000"/>
                  <w:end w:val="single" w:sz="4" w:space="0" w:color="000000"/>
                </w:tcBorders>
              </w:tcPr>
              <w:p>
                <w:pPr>
                  <w:pStyle w:val="Normal"/>
                  <w:keepLines w:val="false"/>
                  <w:widowControl/>
                  <w:spacing w:lineRule="auto" w:line="240" w:before="0" w:after="0"/>
                  <w:rPr/>
                </w:pPr>
                <w:r>
                  <w:rPr>
                    <w:rFonts w:eastAsia="Arial"/>
                    <w:b w:val="false"/>
                    <w:i w:val="false"/>
                    <w:color w:val="000000"/>
                    <w:sz w:val="17"/>
                  </w:rPr>
                  <w:t>Elaboração: 25/08/2026</w:t>
                </w:r>
              </w:p>
            </w:tc>
          </w:tr>
          <w:tr>
            <w:trPr>
              <w:trHeight w:val="425" w:hRule="atLeast"/>
            </w:trPr>
            <w:tc>
              <w:tcPr>
                <w:tcW w:w="2381" w:type="dxa"/>
                <w:tcBorders>
                  <w:top w:val="single" w:sz="4" w:space="0" w:color="000000"/>
                  <w:start w:val="single" w:sz="4" w:space="0" w:color="000000"/>
                  <w:bottom w:val="single" w:sz="4" w:space="0" w:color="000000"/>
                  <w:end w:val="single" w:sz="4" w:space="0" w:color="000000"/>
                </w:tcBorders>
              </w:tcPr>
              <w:p>
                <w:pPr>
                  <w:pStyle w:val="Normal"/>
                  <w:keepLines w:val="false"/>
                  <w:widowControl/>
                  <w:spacing w:lineRule="auto" w:line="240" w:before="0" w:after="0"/>
                  <w:rPr/>
                </w:pPr>
                <w:r>
                  <w:rPr>
                    <w:rFonts w:eastAsia="Arial"/>
                    <w:b w:val="false"/>
                    <w:i w:val="false"/>
                    <w:color w:val="000000"/>
                    <w:sz w:val="17"/>
                  </w:rPr>
                  <w:t>Revisão: 01</w:t>
                </w:r>
              </w:p>
            </w:tc>
          </w:tr>
          <w:tr>
            <w:trPr>
              <w:trHeight w:val="425" w:hRule="atLeast"/>
            </w:trPr>
            <w:tc>
              <w:tcPr>
                <w:tcW w:w="2381" w:type="dxa"/>
                <w:tcBorders>
                  <w:top w:val="single" w:sz="4" w:space="0" w:color="000000"/>
                  <w:start w:val="single" w:sz="4" w:space="0" w:color="000000"/>
                  <w:bottom w:val="single" w:sz="4" w:space="0" w:color="000000"/>
                  <w:end w:val="single" w:sz="4" w:space="0" w:color="000000"/>
                </w:tcBorders>
              </w:tcPr>
              <w:p>
                <w:pPr>
                  <w:pStyle w:val="Normal"/>
                  <w:keepLines w:val="false"/>
                  <w:widowControl/>
                  <w:spacing w:lineRule="auto" w:line="240" w:before="0" w:after="0"/>
                  <w:rPr/>
                </w:pPr>
                <w:r>
                  <w:rPr>
                    <w:rFonts w:eastAsia="Arial"/>
                    <w:b w:val="false"/>
                    <w:i w:val="false"/>
                    <w:color w:val="000000"/>
                    <w:sz w:val="17"/>
                  </w:rPr>
                  <w:t xml:space="preserve">Página </w:t>
                </w:r>
                <w:r>
                  <w:rPr/>
                  <w:fldChar w:fldCharType="begin"/>
                </w:r>
                <w:r>
                  <w:rPr/>
                  <w:instrText xml:space="preserve"> PAGE </w:instrText>
                </w:r>
                <w:r>
                  <w:rPr/>
                  <w:fldChar w:fldCharType="separate"/>
                </w:r>
                <w:r>
                  <w:rPr/>
                  <w:t>7</w:t>
                </w:r>
                <w:r>
                  <w:rPr/>
                  <w:fldChar w:fldCharType="end"/>
                </w:r>
                <w:r>
                  <w:rPr>
                    <w:rFonts w:eastAsia="Arial"/>
                    <w:b w:val="false"/>
                    <w:i w:val="false"/>
                    <w:color w:val="000000"/>
                    <w:sz w:val="17"/>
                  </w:rPr>
                  <w:t xml:space="preserve"> de </w:t>
                </w:r>
                <w:r>
                  <w:rPr/>
                  <w:fldChar w:fldCharType="begin"/>
                </w:r>
                <w:r>
                  <w:rPr/>
                  <w:instrText xml:space="preserve"> NUMPAGES </w:instrText>
                </w:r>
                <w:r>
                  <w:rPr/>
                  <w:fldChar w:fldCharType="separate"/>
                </w:r>
                <w:r>
                  <w:rPr/>
                  <w:t>7</w:t>
                </w:r>
                <w:r>
                  <w:rPr/>
                  <w:fldChar w:fldCharType="end"/>
                </w:r>
              </w:p>
            </w:tc>
          </w:tr>
        </w:tbl>
        <w:p>
          <w:pPr>
            <w:pStyle w:val="Normal"/>
            <w:widowControl/>
            <w:bidi w:val="0"/>
            <w:spacing w:lineRule="auto" w:line="240" w:before="0" w:after="40"/>
            <w:jc w:val="start"/>
            <w:rPr/>
          </w:pPr>
          <w:r>
            <w:rPr/>
          </w:r>
        </w:p>
      </w:tc>
    </w:tr>
  </w:tbl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spacing w:before="0" w:after="0"/>
      <w:rPr/>
    </w:pPr>
    <w:r>
      <w:rPr/>
    </w:r>
  </w:p>
  <w:tbl>
    <w:tblPr>
      <w:tblW w:w="10773" w:type="dxa"/>
      <w:jc w:val="center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firstRow="1" w:noVBand="1" w:lastRow="0" w:firstColumn="1" w:lastColumn="0" w:noHBand="0"/>
    </w:tblPr>
    <w:tblGrid>
      <w:gridCol w:w="3591"/>
      <w:gridCol w:w="3591"/>
      <w:gridCol w:w="3591"/>
    </w:tblGrid>
    <w:tr>
      <w:trPr>
        <w:trHeight w:val="1701" w:hRule="atLeast"/>
      </w:trPr>
      <w:tc>
        <w:tcPr>
          <w:tcW w:w="359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keepLines w:val="false"/>
            <w:widowControl/>
            <w:spacing w:lineRule="auto" w:line="240" w:before="0" w:after="0"/>
            <w:jc w:val="center"/>
            <w:rPr/>
          </w:pPr>
          <w:r>
            <w:rPr/>
            <w:drawing>
              <wp:inline distT="0" distB="0" distL="0" distR="0">
                <wp:extent cx="1224280" cy="523875"/>
                <wp:effectExtent l="0" t="0" r="0" b="0"/>
                <wp:docPr id="2" name="Picture 1" descr="Logotipo Carmel Hotéis" title="Carmel Hotéis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 descr="Logotipo Carmel Hotéis" title="Carmel Hotéis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24280" cy="52387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9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p>
          <w:pPr>
            <w:pStyle w:val="Normal"/>
            <w:keepLines w:val="false"/>
            <w:widowControl/>
            <w:spacing w:lineRule="auto" w:line="240" w:before="0" w:after="0"/>
            <w:jc w:val="center"/>
            <w:rPr/>
          </w:pPr>
          <w:r>
            <w:rPr>
              <w:rFonts w:eastAsia="Arial"/>
              <w:b/>
              <w:i w:val="false"/>
              <w:color w:val="000000"/>
              <w:sz w:val="26"/>
            </w:rPr>
            <w:t>MANUAL DO USUÁRIO — HERMES</w:t>
          </w:r>
        </w:p>
      </w:tc>
      <w:tc>
        <w:tcPr>
          <w:tcW w:w="3591" w:type="dxa"/>
          <w:tcBorders>
            <w:top w:val="single" w:sz="4" w:space="0" w:color="000000"/>
            <w:start w:val="single" w:sz="4" w:space="0" w:color="000000"/>
            <w:bottom w:val="single" w:sz="4" w:space="0" w:color="000000"/>
            <w:end w:val="single" w:sz="4" w:space="0" w:color="000000"/>
          </w:tcBorders>
          <w:vAlign w:val="center"/>
        </w:tcPr>
        <w:tbl>
          <w:tblPr>
            <w:tblW w:w="2381" w:type="dxa"/>
            <w:jc w:val="center"/>
            <w:tblInd w:w="0" w:type="dxa"/>
            <w:tblLayout w:type="fixed"/>
            <w:tblCellMar>
              <w:top w:w="0" w:type="dxa"/>
              <w:start w:w="108" w:type="dxa"/>
              <w:bottom w:w="0" w:type="dxa"/>
              <w:end w:w="108" w:type="dxa"/>
            </w:tblCellMar>
            <w:tblLook w:val="04a0" w:firstRow="1" w:noVBand="1" w:lastRow="0" w:firstColumn="1" w:lastColumn="0" w:noHBand="0"/>
          </w:tblPr>
          <w:tblGrid>
            <w:gridCol w:w="2381"/>
          </w:tblGrid>
          <w:tr>
            <w:trPr>
              <w:trHeight w:val="425" w:hRule="atLeast"/>
            </w:trPr>
            <w:tc>
              <w:tcPr>
                <w:tcW w:w="2381" w:type="dxa"/>
                <w:tcBorders>
                  <w:top w:val="single" w:sz="4" w:space="0" w:color="000000"/>
                  <w:start w:val="single" w:sz="4" w:space="0" w:color="000000"/>
                  <w:bottom w:val="single" w:sz="4" w:space="0" w:color="000000"/>
                  <w:end w:val="single" w:sz="4" w:space="0" w:color="000000"/>
                </w:tcBorders>
              </w:tcPr>
              <w:p>
                <w:pPr>
                  <w:pStyle w:val="Normal"/>
                  <w:keepLines w:val="false"/>
                  <w:widowControl/>
                  <w:spacing w:lineRule="auto" w:line="240" w:before="0" w:after="0"/>
                  <w:rPr/>
                </w:pPr>
                <w:r>
                  <w:rPr>
                    <w:rFonts w:eastAsia="Arial"/>
                    <w:b w:val="false"/>
                    <w:i w:val="false"/>
                    <w:color w:val="000000"/>
                    <w:sz w:val="17"/>
                  </w:rPr>
                  <w:t>Código: MNU-TIC-HERMES</w:t>
                </w:r>
              </w:p>
            </w:tc>
          </w:tr>
          <w:tr>
            <w:trPr>
              <w:trHeight w:val="425" w:hRule="atLeast"/>
            </w:trPr>
            <w:tc>
              <w:tcPr>
                <w:tcW w:w="2381" w:type="dxa"/>
                <w:tcBorders>
                  <w:top w:val="single" w:sz="4" w:space="0" w:color="000000"/>
                  <w:start w:val="single" w:sz="4" w:space="0" w:color="000000"/>
                  <w:bottom w:val="single" w:sz="4" w:space="0" w:color="000000"/>
                  <w:end w:val="single" w:sz="4" w:space="0" w:color="000000"/>
                </w:tcBorders>
              </w:tcPr>
              <w:p>
                <w:pPr>
                  <w:pStyle w:val="Normal"/>
                  <w:keepLines w:val="false"/>
                  <w:widowControl/>
                  <w:spacing w:lineRule="auto" w:line="240" w:before="0" w:after="0"/>
                  <w:rPr/>
                </w:pPr>
                <w:r>
                  <w:rPr>
                    <w:rFonts w:eastAsia="Arial"/>
                    <w:b w:val="false"/>
                    <w:i w:val="false"/>
                    <w:color w:val="000000"/>
                    <w:sz w:val="17"/>
                  </w:rPr>
                  <w:t>Elaboração: 25/08/2026</w:t>
                </w:r>
              </w:p>
            </w:tc>
          </w:tr>
          <w:tr>
            <w:trPr>
              <w:trHeight w:val="425" w:hRule="atLeast"/>
            </w:trPr>
            <w:tc>
              <w:tcPr>
                <w:tcW w:w="2381" w:type="dxa"/>
                <w:tcBorders>
                  <w:top w:val="single" w:sz="4" w:space="0" w:color="000000"/>
                  <w:start w:val="single" w:sz="4" w:space="0" w:color="000000"/>
                  <w:bottom w:val="single" w:sz="4" w:space="0" w:color="000000"/>
                  <w:end w:val="single" w:sz="4" w:space="0" w:color="000000"/>
                </w:tcBorders>
              </w:tcPr>
              <w:p>
                <w:pPr>
                  <w:pStyle w:val="Normal"/>
                  <w:keepLines w:val="false"/>
                  <w:widowControl/>
                  <w:spacing w:lineRule="auto" w:line="240" w:before="0" w:after="0"/>
                  <w:rPr/>
                </w:pPr>
                <w:r>
                  <w:rPr>
                    <w:rFonts w:eastAsia="Arial"/>
                    <w:b w:val="false"/>
                    <w:i w:val="false"/>
                    <w:color w:val="000000"/>
                    <w:sz w:val="17"/>
                  </w:rPr>
                  <w:t>Revisão: 01</w:t>
                </w:r>
              </w:p>
            </w:tc>
          </w:tr>
          <w:tr>
            <w:trPr>
              <w:trHeight w:val="425" w:hRule="atLeast"/>
            </w:trPr>
            <w:tc>
              <w:tcPr>
                <w:tcW w:w="2381" w:type="dxa"/>
                <w:tcBorders>
                  <w:top w:val="single" w:sz="4" w:space="0" w:color="000000"/>
                  <w:start w:val="single" w:sz="4" w:space="0" w:color="000000"/>
                  <w:bottom w:val="single" w:sz="4" w:space="0" w:color="000000"/>
                  <w:end w:val="single" w:sz="4" w:space="0" w:color="000000"/>
                </w:tcBorders>
              </w:tcPr>
              <w:p>
                <w:pPr>
                  <w:pStyle w:val="Normal"/>
                  <w:keepLines w:val="false"/>
                  <w:widowControl/>
                  <w:spacing w:lineRule="auto" w:line="240" w:before="0" w:after="0"/>
                  <w:rPr/>
                </w:pPr>
                <w:r>
                  <w:rPr>
                    <w:rFonts w:eastAsia="Arial"/>
                    <w:b w:val="false"/>
                    <w:i w:val="false"/>
                    <w:color w:val="000000"/>
                    <w:sz w:val="17"/>
                  </w:rPr>
                  <w:t xml:space="preserve">Página </w:t>
                </w:r>
                <w:r>
                  <w:rPr/>
                  <w:fldChar w:fldCharType="begin"/>
                </w:r>
                <w:r>
                  <w:rPr/>
                  <w:instrText xml:space="preserve"> PAGE </w:instrText>
                </w:r>
                <w:r>
                  <w:rPr/>
                  <w:fldChar w:fldCharType="separate"/>
                </w:r>
                <w:r>
                  <w:rPr/>
                  <w:t>7</w:t>
                </w:r>
                <w:r>
                  <w:rPr/>
                  <w:fldChar w:fldCharType="end"/>
                </w:r>
                <w:r>
                  <w:rPr>
                    <w:rFonts w:eastAsia="Arial"/>
                    <w:b w:val="false"/>
                    <w:i w:val="false"/>
                    <w:color w:val="000000"/>
                    <w:sz w:val="17"/>
                  </w:rPr>
                  <w:t xml:space="preserve"> de </w:t>
                </w:r>
                <w:r>
                  <w:rPr/>
                  <w:fldChar w:fldCharType="begin"/>
                </w:r>
                <w:r>
                  <w:rPr/>
                  <w:instrText xml:space="preserve"> NUMPAGES </w:instrText>
                </w:r>
                <w:r>
                  <w:rPr/>
                  <w:fldChar w:fldCharType="separate"/>
                </w:r>
                <w:r>
                  <w:rPr/>
                  <w:t>7</w:t>
                </w:r>
                <w:r>
                  <w:rPr/>
                  <w:fldChar w:fldCharType="end"/>
                </w:r>
              </w:p>
            </w:tc>
          </w:tr>
        </w:tbl>
        <w:p>
          <w:pPr>
            <w:pStyle w:val="Normal"/>
            <w:widowControl/>
            <w:bidi w:val="0"/>
            <w:spacing w:lineRule="auto" w:line="240" w:before="0" w:after="40"/>
            <w:jc w:val="start"/>
            <w:rPr/>
          </w:pPr>
          <w:r>
            <w:rPr/>
          </w:r>
        </w:p>
      </w:tc>
    </w:tr>
  </w:tbl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4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pt-BR" w:eastAsia="zh-TW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40" w:before="0" w:after="40"/>
      <w:jc w:val="start"/>
    </w:pPr>
    <w:rPr>
      <w:rFonts w:ascii="Arial" w:hAnsi="Arial" w:eastAsia="Arial" w:cs="" w:cstheme="minorBidi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uiPriority w:val="99"/>
    <w:qFormat/>
    <w:rsid w:val="00e618bf"/>
    <w:rPr/>
  </w:style>
  <w:style w:type="character" w:styleId="FooterChar" w:customStyle="1">
    <w:name w:val="Footer Char"/>
    <w:basedOn w:val="DefaultParagraphFont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4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ndice">
    <w:name w:val="Índice"/>
    <w:basedOn w:val="Normal"/>
    <w:qFormat/>
    <w:pPr>
      <w:suppressLineNumbers/>
    </w:pPr>
    <w:rPr>
      <w:rFonts w:cs="Arial"/>
    </w:rPr>
  </w:style>
  <w:style w:type="paragraph" w:styleId="Ttulouser">
    <w:name w:val="Título (user)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ndiceuser">
    <w:name w:val="Índice (user)"/>
    <w:basedOn w:val="Normal"/>
    <w:qFormat/>
    <w:pPr>
      <w:suppressLineNumbers/>
    </w:pPr>
    <w:rPr>
      <w:rFonts w:cs="Arial"/>
    </w:rPr>
  </w:style>
  <w:style w:type="paragraph" w:styleId="Cabealhoerodapuser">
    <w:name w:val="Cabeçalho e rodapé (user)"/>
    <w:basedOn w:val="Normal"/>
    <w:qFormat/>
    <w:pPr/>
    <w:rPr/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4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4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4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4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4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4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4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4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4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Ttulouser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Semlistauser" w:default="1">
    <w:name w:val="Sem lista (user)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Application>LibreOffice/26.2.5.2$Windows_X86_64 LibreOffice_project/cd7284b4cbbfeb507e630c1aac019f4157393acb</Application>
  <AppVersion>15.0000</AppVersion>
  <Pages>2</Pages>
  <Words>3081</Words>
  <Characters>17116</Characters>
  <CharactersWithSpaces>19881</CharactersWithSpaces>
  <Paragraphs>380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Tecnologia da Informação</dc:creator>
  <dc:description>Documento corporativo do projeto HERMES.</dc:description>
  <dc:language>pt-BR</dc:language>
  <cp:lastModifiedBy/>
  <dcterms:modified xsi:type="dcterms:W3CDTF">2026-08-27T16:45:56Z</dcterms:modified>
  <cp:revision>7</cp:revision>
  <dc:subject>Uso das automações de conferência do HERMES</dc:subject>
  <dc:title>Manual do Usuário — HERMES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