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SUMÁRIO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Identificação do serviço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1. Objetivo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2. Abrangência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3. Documentos de referência e/ou complementares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4. Termos e definições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5. Papéis e responsabilidades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6. Descrição do serviço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7. Fontes de dados e atualização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8. Memória de cálculo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9. Regras de negócio e exceções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</w:t>
      </w:r>
      <w:r>
        <w:rPr>
          <w:rFonts w:eastAsia="Arial"/>
          <w:b w:val="false"/>
          <w:i w:val="false"/>
          <w:color w:val="000000"/>
          <w:sz w:val="18"/>
        </w:rPr>
        <w:t>0</w:t>
      </w:r>
      <w:r>
        <w:rPr>
          <w:rFonts w:eastAsia="Arial"/>
          <w:b w:val="false"/>
          <w:i w:val="false"/>
          <w:color w:val="000000"/>
          <w:sz w:val="18"/>
        </w:rPr>
        <w:t>. Como conferir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</w:t>
      </w:r>
      <w:r>
        <w:rPr>
          <w:rFonts w:eastAsia="Arial"/>
          <w:b w:val="false"/>
          <w:i w:val="false"/>
          <w:color w:val="000000"/>
          <w:sz w:val="18"/>
        </w:rPr>
        <w:t>1</w:t>
      </w:r>
      <w:r>
        <w:rPr>
          <w:rFonts w:eastAsia="Arial"/>
          <w:b w:val="false"/>
          <w:i w:val="false"/>
          <w:color w:val="000000"/>
          <w:sz w:val="18"/>
        </w:rPr>
        <w:t>. Pré-requisitos de acesso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</w:t>
      </w:r>
      <w:r>
        <w:rPr>
          <w:rFonts w:eastAsia="Arial"/>
          <w:b w:val="false"/>
          <w:i w:val="false"/>
          <w:color w:val="000000"/>
          <w:sz w:val="18"/>
        </w:rPr>
        <w:t>2</w:t>
      </w:r>
      <w:r>
        <w:rPr>
          <w:rFonts w:eastAsia="Arial"/>
          <w:b w:val="false"/>
          <w:i w:val="false"/>
          <w:color w:val="000000"/>
          <w:sz w:val="18"/>
        </w:rPr>
        <w:t>. Suporte e acionamento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</w:t>
      </w:r>
      <w:r>
        <w:rPr>
          <w:rFonts w:eastAsia="Arial"/>
          <w:b w:val="false"/>
          <w:i w:val="false"/>
          <w:color w:val="000000"/>
          <w:sz w:val="18"/>
        </w:rPr>
        <w:t>3</w:t>
      </w:r>
      <w:r>
        <w:rPr>
          <w:rFonts w:eastAsia="Arial"/>
          <w:b w:val="false"/>
          <w:i w:val="false"/>
          <w:color w:val="000000"/>
          <w:sz w:val="18"/>
        </w:rPr>
        <w:t>. Particularidades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</w:t>
      </w:r>
      <w:r>
        <w:rPr>
          <w:rFonts w:eastAsia="Arial"/>
          <w:b w:val="false"/>
          <w:i w:val="false"/>
          <w:color w:val="000000"/>
          <w:sz w:val="18"/>
        </w:rPr>
        <w:t>4</w:t>
      </w:r>
      <w:r>
        <w:rPr>
          <w:rFonts w:eastAsia="Arial"/>
          <w:b w:val="false"/>
          <w:i w:val="false"/>
          <w:color w:val="000000"/>
          <w:sz w:val="18"/>
        </w:rPr>
        <w:t>. Anexos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</w:t>
      </w:r>
      <w:r>
        <w:rPr>
          <w:rFonts w:eastAsia="Arial"/>
          <w:b w:val="false"/>
          <w:i w:val="false"/>
          <w:color w:val="000000"/>
          <w:sz w:val="18"/>
        </w:rPr>
        <w:t>5</w:t>
      </w:r>
      <w:r>
        <w:rPr>
          <w:rFonts w:eastAsia="Arial"/>
          <w:b w:val="false"/>
          <w:i w:val="false"/>
          <w:color w:val="000000"/>
          <w:sz w:val="18"/>
        </w:rPr>
        <w:t>. Revisões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Aprovação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IDENTIFICAÇÃO DO SERVIÇO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Campo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Conteúdo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Nome do serviço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 — Automações de conferência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Tipo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Aplicação web/desktop de automação, conciliação e geração de relatórios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Onde é acessado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Rede administrativa: http://10.197.3.193. Execução web por Docker, com Nginx como proxy reverso.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Em produção desde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 — registrar a data formal de entrada em produção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Unidades atendidas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Cumbuco (inclui Wind), Magna, Taiba e Charme, conforme a atividade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Projeto/tarefa no GLPI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Responsável técnico (TI)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Tecnologia da Informação — responsável pela manutenção do código e infraestrutura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Dono da regra de negócio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 por processo: Contabilidade, Financeiro, Fiscal, Controladoria e RH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Frequência de atualização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Sob demanda; cada execução utiliza os arquivos selecionados pelo usuário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Versão do projeto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0.1.0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A TI responde pelo comportamento implementado; cada área demandante responde pela regra de negócio e pela validação do resultado. Alterações em critérios de cálculo exigem teste, atualização deste documento e nova revisão.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1. OBJETIVO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Disponibilizar uma aplicação única para reconhecer, normalizar, comparar e exportar relatórios contábeis, financeiros, fiscais e operacionais, reduzindo conferências manuais e evidenciando diferenças que precisam de validação humana.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2. ABRANGÊNCIA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Aplicável às áreas usuárias que executam as 12 atividades catalogadas e à TI que mantém a aplicação. A solução atende uso em navegador na rede administrativa e execução local/desktop da mesma base de código.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Inclui leitura de arquivos, normalização, memória de cálculo, classificação, consulta em tela e exportação.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Não inclui correção automática nas fontes, escrituração contábil/fiscal, aprovação de pagamento ou armazenamento histórico.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Não substitui a validação do responsável pelo processo nem os controles dos sistemas de origem.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3. DOCUMENTOS DE REFERÊNCIA E/OU COMPLEMENTARES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README.md — </w:t>
      </w:r>
      <w:r>
        <w:rPr>
          <w:rFonts w:eastAsia="Arial"/>
          <w:b w:val="false"/>
          <w:i w:val="false"/>
          <w:color w:val="000000"/>
          <w:sz w:val="18"/>
        </w:rPr>
        <w:t>instalação, execução, estrutura e ciclo de dados.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docs/GUIA_USUARIO_HERMES.md — </w:t>
      </w:r>
      <w:r>
        <w:rPr>
          <w:rFonts w:eastAsia="Arial"/>
          <w:b w:val="false"/>
          <w:i w:val="false"/>
          <w:color w:val="000000"/>
          <w:sz w:val="18"/>
        </w:rPr>
        <w:t>instruções operacionais detalhadas.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docs/DOCUMENTACAO_TECNICA.md — </w:t>
      </w:r>
      <w:r>
        <w:rPr>
          <w:rFonts w:eastAsia="Arial"/>
          <w:b w:val="false"/>
          <w:i w:val="false"/>
          <w:color w:val="000000"/>
          <w:sz w:val="18"/>
        </w:rPr>
        <w:t>referência técnica mantida com o código.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pyproject.toml e uv.lock — </w:t>
      </w:r>
      <w:r>
        <w:rPr>
          <w:rFonts w:eastAsia="Arial"/>
          <w:b w:val="false"/>
          <w:i w:val="false"/>
          <w:color w:val="000000"/>
          <w:sz w:val="18"/>
        </w:rPr>
        <w:t>dependências e versões resolvidas.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compose.yaml, Dockerfile e nginx/default.conf — </w:t>
      </w:r>
      <w:r>
        <w:rPr>
          <w:rFonts w:eastAsia="Arial"/>
          <w:b w:val="false"/>
          <w:i w:val="false"/>
          <w:color w:val="000000"/>
          <w:sz w:val="18"/>
        </w:rPr>
        <w:t>implantação e controles do ambiente web.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assets/folha/modelo_folha.xlsm — </w:t>
      </w:r>
      <w:r>
        <w:rPr>
          <w:rFonts w:eastAsia="Arial"/>
          <w:b w:val="false"/>
          <w:i w:val="false"/>
          <w:color w:val="000000"/>
          <w:sz w:val="18"/>
        </w:rPr>
        <w:t>parametrização padrão da Folha de Pagamento.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4. TERMOS E DEFINIÇÕES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Termo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Definição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CAP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Relatório financeiro/contas a pagar utilizado por atividades específicas.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CMFlex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Sistema de origem de relatórios contábeis, financeiros e fiscais e destino do CSV da Folha.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Opera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Sistema hoteleiro; fornece Journal e XML de encerramentos.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Simphony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Fonte operacional de cupons e status aprovado/cancelado.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SEFAZ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Fonte fiscal estadual para NFC-e e NF-e.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RPS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Recibo Provisório de Serviços relacionado à emissão de NFS-e.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CMV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Custo da Mercadoria Vendida.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Conciliação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Correspondência aceita entre as fontes dentro da tolerância e das regras aplicáveis.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Abas-base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Cópias de valores das planilhas analisadas, anexadas ao Excel para consulta.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Sessão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Estado temporário mantido para uma conexão do navegador; não é histórico persistente.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5. PAPÉIS E RESPONSABILIDADES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Papel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Área usuária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Gerar fontes corretas, escolher hotel/período, interpretar resultados, validar pendências e proteger os arquivos.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Dono da regra de negócio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Definir critérios, validar exemplos reais e aprovar mudanças de regra.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TI — desenvolvimento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Manter leitores, regras, exportadores, testes e documentação.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TI — infraestrutura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Manter Docker, proxy, credenciais, firewall, disponibilidade, logs e atualização.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Coordenação de TI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Aprovar alterações de segurança, capacidade e publicação.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Qualidade / SGI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Publicar e controlar a revisão vigente dos documentos.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6. DESCRIÇÃO DO SERVIÇO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O usuário autentica-se, escolhe uma atividade, seleciona o hotel quando aplicável e envia os relatórios. A interface valida quantidade, extensões e volume. O catálogo AutomationSpec direciona o conjunto ao analisador. A automação identifica layouts, normaliza campos, calcula a conferência e devolve objetos tipados mantidos em memória. A interface mostra indicadores e linhas; o exportador gera Excel, PDF ou CSV temporário e o navegador baixa os bytes.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83"/>
        <w:gridCol w:w="3483"/>
        <w:gridCol w:w="3483"/>
      </w:tblGrid>
      <w:tr>
        <w:trPr>
          <w:tblHeader w:val="true"/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Etapa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Componente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1. Acesso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Nginx + Flet + hermes_ui/auth.py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Rede permitida, credencial bcrypt e sessão transitória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2. Entrada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hermes_ui/app.py + runtime.py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Arquivos, hotel e limites validados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3. Roteamento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hermes_ui/registry.py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AutomationSpec e módulo selecionados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4. Processamento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automations/*.py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Dados reconhecidos, normalizados e conciliados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5. Apresentação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Flet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Indicadores, resumo, filtros, paginação e detalhe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6. Saída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OpenPyXL / ReportLab / CSV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temporário enviado ao usuário e removido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000000"/>
          <w:sz w:val="19"/>
        </w:rPr>
        <w:t>Catálogo funcional</w:t>
      </w:r>
    </w:p>
    <w:tbl>
      <w:tblPr>
        <w:tblW w:w="104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90"/>
        <w:gridCol w:w="2090"/>
        <w:gridCol w:w="2090"/>
        <w:gridCol w:w="2090"/>
        <w:gridCol w:w="2090"/>
      </w:tblGrid>
      <w:tr>
        <w:trPr>
          <w:tblHeader w:val="true"/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#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Automação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Entradas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Saídas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Regra central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Conciliação de Receita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2: Razão Analítico + Journal Opera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Compara receita diária; Magna ignora somente Taxa de Turismo e Ajuste Taxa de Turismo.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Receita de Diárias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2: códigos de transação + Journal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Totaliza TRX_CODE; código 1011 é ignorado somente no Charme.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Folha de Pagamento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6 sem férias ou 7 com férias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Excel/CSV/PDF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Gera lançamentos CMFlex; recibo e líquido de férias são usados em conjunto.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4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Cupons x Conta do Hóspede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3: BI/PDV + Journal + de/para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Relaciona conta, CHECK#, data e valor; identifica período incompleto.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RPS de Serviços Prestados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3: Opera XML + Fiscal + Prefeitura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Confere RPS, situação e valor; reconhece perfis e descrições de serviços.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6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Relatório de Notas de Débito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 ou mais planilhas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Consolida hotel, comprador, nota, emissão, item e valor.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7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Notas de Entrada em Atraso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2: Manifesto + Detalhe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Classifica prazo por UF e indica nota lançada ou não lançada.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8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Conferência dos Cupons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3: Simphony + Fiscal + SEFAZ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Confere NFC-e/NF-e; cancelado concilia com Fiscal/SEFAZ vazios ou zerados.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9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Notas de Serviços Tomados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CAP + ISS + 1 ou mais fontes externas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Confere CAP, fontes municipais/nacionais, BPM, hotel, valor e ISS retido.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Contas a Receber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6 relatórios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Clientes, notas a faturar e comissões; consolida todas as variações CVC.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11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Contas a Pagar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8 relatórios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Fornecedores, adiantamentos e IRRF/CSRF/ISS; consolida variações CVC.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12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CMV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4: CAP + Razão entradas + Inventário + Razão estoques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Entradas e saldo final são conferências independentes.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7. FONTES DE DADOS E ATUALIZAÇÃO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12"/>
        <w:gridCol w:w="2612"/>
        <w:gridCol w:w="2612"/>
        <w:gridCol w:w="2613"/>
      </w:tblGrid>
      <w:tr>
        <w:trPr>
          <w:tblHeader w:val="true"/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Fonte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Conteúdo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Atualização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Tratamento de falha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CMFlex / Contabilidade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Razões, balancetes, Fiscal, folha e documentos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sob demanda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Rejeita layout ausente/incompatível; usuário regenera o relatório.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CAP / Financeiro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Fornecedores, clientes, adiantamentos, impostos e custos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sob demanda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Valida cabeçalhos e tipo; fontes semelhantes podem depender do nome.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Opera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Journal e XML de RPS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sob demanda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Valida período e colunas; informa cobertura incompleta.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Simphony / SEFAZ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Cupons, notas, valores e cancelamentos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sob demanda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Classifica ausência, divergência e cancelamento.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Prefeituras / Portal Nacional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NFS-e e ISS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sob demanda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Aceita formatos previstos; mantém Portal sem Prefeitura como pendência.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Inventário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Saldo físico/financeiro por grupo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sob demanda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Relaciona grupos e preserva saldo contábil sem movimento.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O HERMES não executa cargas agendadas. A atualidade do resultado corresponde exclusivamente aos arquivos escolhidos na execução. Se uma fonte estiver desatualizada, a conferência também estará.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8. MEMÓRIA DE CÁLCULO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A tolerância monetária padrão é R$ 0,01. Textos-chave são normalizados em maiúsculas, sem acentos e pontuação; CNPJ e chaves fiscais são comparados sem formatação. Datas e valores aceitam os formatos previstos em cada leitor.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83"/>
        <w:gridCol w:w="3483"/>
        <w:gridCol w:w="3483"/>
      </w:tblGrid>
      <w:tr>
        <w:trPr>
          <w:tblHeader w:val="true"/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Processo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Cálculo/relacionamento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Classificação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Receita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Σ Movimento contábil por data − Σ CASHIER_DEBIT Opera por data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Conciliado se |diferença| ≤ 0,01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Diárias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Quantidade e Σ CASHIER_DEBIT por TRX_CODE parametrizado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Com movimento / Sem movimento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Folha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Eventos e encargos por centro de custo conforme modelo/de-para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Pronto quando conta e centro de custo estão completos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Cupons x hóspede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Conta/CHECK# + data + valor líquido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Correspondência exata ou situação explicada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RPS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RPS + situação + valor entre Opera, Fiscal e Prefeitura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Conciliação/ausência/divergência/cancelamento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Notas de entrada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Data/hora de entrada − emissão; sem entrada até a data atual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Faixa Ceará ou outros estados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Cupons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Chave + status Simphony + valor Fiscal + valor SEFAZ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Cancelado concilia com externos vazios/zero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Serviços tomados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CNPJ + nota + valor, CAP/BPM/hotel/Prefeitura/ISS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Todas as validações aplicáveis corretas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Receber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Financeiro − Contabilidade em três blocos independentes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CVC consolidada; BRT/BWT separadas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Pagar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Financeiro − Contabilidade em cinco blocos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CVC consolidada; impostos por tipo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CMV Entradas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CAP elegível − débitos contábeis elegíveis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Não inclui integração de custo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CMV Saldo final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Inventário − saldo final contábil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Análise independente de Entradas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9. REGRAS DE NEGÓCIO E EXCEÇÕES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Hotel — </w:t>
      </w:r>
      <w:r>
        <w:rPr>
          <w:rFonts w:eastAsia="Arial"/>
          <w:b w:val="false"/>
          <w:i w:val="false"/>
          <w:color w:val="000000"/>
          <w:sz w:val="18"/>
        </w:rPr>
        <w:t>seletores usam Cumbuco, Magna, Taiba e Charme; Wind é tratado como Cumbuco. Trocar hotel invalida o resultado atual.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Receita — </w:t>
      </w:r>
      <w:r>
        <w:rPr>
          <w:rFonts w:eastAsia="Arial"/>
          <w:b w:val="false"/>
          <w:i w:val="false"/>
          <w:color w:val="000000"/>
          <w:sz w:val="18"/>
        </w:rPr>
        <w:t>somente Magna exclui Taxa de Turismo e Ajuste Taxa de Turismo.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Diárias — </w:t>
      </w:r>
      <w:r>
        <w:rPr>
          <w:rFonts w:eastAsia="Arial"/>
          <w:b w:val="false"/>
          <w:i w:val="false"/>
          <w:color w:val="000000"/>
          <w:sz w:val="18"/>
        </w:rPr>
        <w:t>somente Charme exclui o código 1011.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Folha — </w:t>
      </w:r>
      <w:r>
        <w:rPr>
          <w:rFonts w:eastAsia="Arial"/>
          <w:b w:val="false"/>
          <w:i w:val="false"/>
          <w:color w:val="000000"/>
          <w:sz w:val="18"/>
        </w:rPr>
        <w:t>cenário sem férias aceita 6 fontes; com férias, 7. Recibo e líquido de férias formam par obrigatório.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Folha — </w:t>
      </w:r>
      <w:r>
        <w:rPr>
          <w:rFonts w:eastAsia="Arial"/>
          <w:b w:val="false"/>
          <w:i w:val="false"/>
          <w:color w:val="000000"/>
          <w:sz w:val="18"/>
        </w:rPr>
        <w:t>REF PLANO ODONTOLÓGICO e REF PLANO DE SAÚDE são manuais; eventos 271, 311 e 359 estão parametrizados.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Cupons — </w:t>
      </w:r>
      <w:r>
        <w:rPr>
          <w:rFonts w:eastAsia="Arial"/>
          <w:b w:val="false"/>
          <w:i w:val="false"/>
          <w:color w:val="000000"/>
          <w:sz w:val="18"/>
        </w:rPr>
        <w:t>cancelado no Simphony com Fiscal e SEFAZ vazios ou zerados é conciliado; valor externo não zero é divergência.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Serviços tomados — </w:t>
      </w:r>
      <w:r>
        <w:rPr>
          <w:rFonts w:eastAsia="Arial"/>
          <w:b w:val="false"/>
          <w:i w:val="false"/>
          <w:color w:val="000000"/>
          <w:sz w:val="18"/>
        </w:rPr>
        <w:t>ISS só é cobrado quando retido/aplicável; São Paulo segue regra municipal específica.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Contas a receber/pagar — </w:t>
      </w:r>
      <w:r>
        <w:rPr>
          <w:rFonts w:eastAsia="Arial"/>
          <w:b w:val="false"/>
          <w:i w:val="false"/>
          <w:color w:val="000000"/>
          <w:sz w:val="18"/>
        </w:rPr>
        <w:t>todas as variações CVC formam um total único; BRT e BWT não são agrupadas entre si.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CMV — </w:t>
      </w:r>
      <w:r>
        <w:rPr>
          <w:rFonts w:eastAsia="Arial"/>
          <w:b w:val="false"/>
          <w:i w:val="false"/>
          <w:color w:val="000000"/>
          <w:sz w:val="18"/>
        </w:rPr>
        <w:t>Entradas e Saldo final são conferências distintas; integração de custo não entra em Entradas.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Arquivos-base — </w:t>
      </w:r>
      <w:r>
        <w:rPr>
          <w:rFonts w:eastAsia="Arial"/>
          <w:b w:val="false"/>
          <w:i w:val="false"/>
          <w:color w:val="000000"/>
          <w:sz w:val="18"/>
        </w:rPr>
        <w:t>somente receita, cupons, receber, pagar e CMV anexam cópias das entradas ao Excel.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1</w:t>
      </w:r>
      <w:r>
        <w:rPr>
          <w:rFonts w:eastAsia="Arial"/>
          <w:b/>
          <w:i w:val="false"/>
          <w:color w:val="000000"/>
          <w:sz w:val="22"/>
        </w:rPr>
        <w:t>0</w:t>
      </w:r>
      <w:r>
        <w:rPr>
          <w:rFonts w:eastAsia="Arial"/>
          <w:b/>
          <w:i w:val="false"/>
          <w:color w:val="000000"/>
          <w:sz w:val="22"/>
        </w:rPr>
        <w:t>. COMO CONFERIR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1. </w:t>
      </w:r>
      <w:r>
        <w:rPr>
          <w:rFonts w:eastAsia="Arial"/>
          <w:b w:val="false"/>
          <w:i w:val="false"/>
          <w:color w:val="000000"/>
          <w:sz w:val="18"/>
        </w:rPr>
        <w:t>Confirme hotel/empresa/período e os nomes dos arquivos reconhecidos.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2. </w:t>
      </w:r>
      <w:r>
        <w:rPr>
          <w:rFonts w:eastAsia="Arial"/>
          <w:b w:val="false"/>
          <w:i w:val="false"/>
          <w:color w:val="000000"/>
          <w:sz w:val="18"/>
        </w:rPr>
        <w:t>Compare os totais do Resumo com as fontes de origem.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3. </w:t>
      </w:r>
      <w:r>
        <w:rPr>
          <w:rFonts w:eastAsia="Arial"/>
          <w:b w:val="false"/>
          <w:i w:val="false"/>
          <w:color w:val="000000"/>
          <w:sz w:val="18"/>
        </w:rPr>
        <w:t>Selecione Pendências e use a pesquisa para localizar um documento real.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4. </w:t>
      </w:r>
      <w:r>
        <w:rPr>
          <w:rFonts w:eastAsia="Arial"/>
          <w:b w:val="false"/>
          <w:i w:val="false"/>
          <w:color w:val="000000"/>
          <w:sz w:val="18"/>
        </w:rPr>
        <w:t>Refaça manualmente a memória de cálculo aplicável e confirme tolerância e exceções.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5. </w:t>
      </w:r>
      <w:r>
        <w:rPr>
          <w:rFonts w:eastAsia="Arial"/>
          <w:b w:val="false"/>
          <w:i w:val="false"/>
          <w:color w:val="000000"/>
          <w:sz w:val="18"/>
        </w:rPr>
        <w:t>Valide o nome do hotel, abas e totalizadores do Excel exportado.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6. </w:t>
      </w:r>
      <w:r>
        <w:rPr>
          <w:rFonts w:eastAsia="Arial"/>
          <w:b w:val="false"/>
          <w:i w:val="false"/>
          <w:color w:val="000000"/>
          <w:sz w:val="18"/>
        </w:rPr>
        <w:t>Na Folha, valide o CSV em ferramenta que não altere separador, encoding ou zeros à esquerda.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7. </w:t>
      </w:r>
      <w:r>
        <w:rPr>
          <w:rFonts w:eastAsia="Arial"/>
          <w:b w:val="false"/>
          <w:i w:val="false"/>
          <w:color w:val="000000"/>
          <w:sz w:val="18"/>
        </w:rPr>
        <w:t>Execute testes automatizados e validação do contêiner após qualquer mudança de código/regra.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1</w:t>
      </w:r>
      <w:r>
        <w:rPr>
          <w:rFonts w:eastAsia="Arial"/>
          <w:b/>
          <w:i w:val="false"/>
          <w:color w:val="000000"/>
          <w:sz w:val="22"/>
        </w:rPr>
        <w:t>1</w:t>
      </w:r>
      <w:r>
        <w:rPr>
          <w:rFonts w:eastAsia="Arial"/>
          <w:b/>
          <w:i w:val="false"/>
          <w:color w:val="000000"/>
          <w:sz w:val="22"/>
        </w:rPr>
        <w:t>. PRÉ-REQUISITOS DE ACESSO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83"/>
        <w:gridCol w:w="3483"/>
        <w:gridCol w:w="3483"/>
      </w:tblGrid>
      <w:tr>
        <w:trPr>
          <w:tblHeader w:val="true"/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Recurso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Quem precisa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Como obter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Rede administrativa 10.197.0.0/22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Usuário web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Acesso de rede autorizado pela TI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Credencial HERMES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Usuário web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Cadastro bcrypt em nginx/.htpasswd pela TI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Navegador compatível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Usuário web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Chrome, Edge ou equivalente atualizado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Relatórios dos sistemas de origem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Área usuária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Perfis concedidos pelos donos de cada sistema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Docker e repositório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TI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Acesso restrito ao servidor e ao código-fonte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1</w:t>
      </w:r>
      <w:r>
        <w:rPr>
          <w:rFonts w:eastAsia="Arial"/>
          <w:b/>
          <w:i w:val="false"/>
          <w:color w:val="000000"/>
          <w:sz w:val="22"/>
        </w:rPr>
        <w:t>2</w:t>
      </w:r>
      <w:r>
        <w:rPr>
          <w:rFonts w:eastAsia="Arial"/>
          <w:b/>
          <w:i w:val="false"/>
          <w:color w:val="000000"/>
          <w:sz w:val="22"/>
        </w:rPr>
        <w:t>. SUPORTE E ACIONAMENTO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83"/>
        <w:gridCol w:w="3483"/>
        <w:gridCol w:w="3483"/>
      </w:tblGrid>
      <w:tr>
        <w:trPr>
          <w:tblHeader w:val="true"/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Situação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Como acionar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Evidências mínimas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Página indisponível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Chamado para Infraestrutura/Sistemas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Endereço, horário, rede e mensagem do navegador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Falha de login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Chamado para Sistemas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Usuário e horário; nunca enviar senha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rejeitado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Chamado para Sistemas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Atividade, nome, origem e mensagem completa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Resultado divergente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Chamado para Sistemas + dono da regra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Hotel, período, identificador real, cálculo esperado e Excel exportado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Mudança de regra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Solicitação formal do dono da regra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Descrição, exemplos, impacto e aprovação; gera teste e revisão da DTS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1</w:t>
      </w:r>
      <w:r>
        <w:rPr>
          <w:rFonts w:eastAsia="Arial"/>
          <w:b/>
          <w:i w:val="false"/>
          <w:color w:val="000000"/>
          <w:sz w:val="22"/>
        </w:rPr>
        <w:t>3</w:t>
      </w:r>
      <w:r>
        <w:rPr>
          <w:rFonts w:eastAsia="Arial"/>
          <w:b/>
          <w:i w:val="false"/>
          <w:color w:val="000000"/>
          <w:sz w:val="22"/>
        </w:rPr>
        <w:t>. PARTICULARIDADES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Tema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Configuração vigente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Topologia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Navegador → Nginx :80 → serviço hermes :8000 na rede interna do Compose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Sessão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FLET_SESSION_TIMEOUT=30 s para sessão desconectada; eventos de desconexão/fechamento limpam o login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Autenticação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bcrypt, custo definido no hash; arquivo .htpasswd montado somente leitura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Proteção contra tentativa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5 falhas por cliente em janela de 5 minutos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Concorrência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 análises/exportações pesadas simultâneas por padrão; excedentes aguardam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Upload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20 arquivos e 200 MiB por operação; 100 MiB por arquivo no Flet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Contêiner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Usuário UID 10001, cap_drop ALL, no-new-privileges, 2 CPU, 2 GiB, 256 PIDs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Logs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stdout/stderr, driver local, 3 arquivos de até 10 MiB por serviço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Persistência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Nenhum volume de dados; somente .htpasswd e configuração Nginx são montados somente leitura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1</w:t>
      </w:r>
      <w:r>
        <w:rPr>
          <w:rFonts w:eastAsia="Arial"/>
          <w:b/>
          <w:i w:val="false"/>
          <w:color w:val="000000"/>
          <w:sz w:val="22"/>
        </w:rPr>
        <w:t>4</w:t>
      </w:r>
      <w:r>
        <w:rPr>
          <w:rFonts w:eastAsia="Arial"/>
          <w:b/>
          <w:i w:val="false"/>
          <w:color w:val="000000"/>
          <w:sz w:val="22"/>
        </w:rPr>
        <w:t>. ANEXOS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000000"/>
          <w:sz w:val="19"/>
        </w:rPr>
        <w:t>Anexo I — Arquitetura e ciclo de dados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12"/>
        <w:gridCol w:w="2612"/>
        <w:gridCol w:w="2612"/>
        <w:gridCol w:w="2613"/>
      </w:tblGrid>
      <w:tr>
        <w:trPr>
          <w:tblHeader w:val="true"/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Origem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Processamento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Memória da sessão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Saída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Arquivos do usuário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Leitor + regra da automação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Resultado tipado e, quando aplicável, bytes das abas-base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Excel, PDF ou CSV baixado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Na execução web, uploads são copiados para /tmp/hermes_upload_* e removidos ao final da análise. Exportações usam /tmp/hermes_export_* e são removidas após o envio. Limpar, nova seleção, troca de atividade ou encerramento/expiração libera o estado em memória.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000000"/>
          <w:sz w:val="19"/>
        </w:rPr>
        <w:t>Anexo II — Configuração e operação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Comando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docker compose build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Reconstruir imagens após alteração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docker compose up -d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Iniciar/recriar serviços em segundo plano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docker compose ps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Conferir estado; esperado healthy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docker compose logs -f hermes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Acompanhar logs da aplicação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docker compose logs -f nginx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Acompanhar proxy e acessos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docker compose down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Parar e remover os contêineres do projeto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83"/>
        <w:gridCol w:w="3483"/>
        <w:gridCol w:w="3483"/>
      </w:tblGrid>
      <w:tr>
        <w:trPr>
          <w:tblHeader w:val="true"/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Variável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Padrão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NGINX_BIND_ADDRESS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0.0.0.0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Interface publicada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NGINX_PORT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80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Porta HTTP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FLET_SESSION_TIMEOUT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30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Retenção da sessão desconectada, em segundos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FLET_MAX_UPLOAD_SIZE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104857600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Tamanho máximo individual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HERMES_MAX_CONCURRENT_JOBS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Operações pesadas simultâneas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HERMES_MAX_FILES_PER_JOB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20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Arquivos por operação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HERMES_MAX_TOTAL_UPLOAD_SIZE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209715200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Soma dos uploads por operação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HERMES_CPU_LIMIT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2.0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Limite de CPU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HERMES_MEMORY_LIMIT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2g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Limite de memória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HERMES_LOG_LEVEL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INFO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Nível dos logs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000000"/>
          <w:sz w:val="19"/>
        </w:rPr>
        <w:t>Anexo III — Testes e manutenção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A suíte é executada com uv run python -m unittest discover -s tests -v. A validação de sintaxe usa uv run python -m compileall -q automations hermes_ui tests. A versão documentada possuía 54 testes aprovados na última validação registrada no projeto.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Toda correção deve incluir caso de regressão quando aplicável.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Mudança visível ao usuário exige atualização do manual e desta DTS.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Após mudança publicada, reconstruir o Docker e verificar healthcheck e logs.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O modelo XLSM da Folha deve preservar VBA, tabelas e intervalos e ser validado com keep_vba=True.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1</w:t>
      </w:r>
      <w:r>
        <w:rPr>
          <w:rFonts w:eastAsia="Arial"/>
          <w:b/>
          <w:i w:val="false"/>
          <w:color w:val="000000"/>
          <w:sz w:val="22"/>
        </w:rPr>
        <w:t>5</w:t>
      </w:r>
      <w:r>
        <w:rPr>
          <w:rFonts w:eastAsia="Arial"/>
          <w:b/>
          <w:i w:val="false"/>
          <w:color w:val="000000"/>
          <w:sz w:val="22"/>
        </w:rPr>
        <w:t>. REVISÕES</w:t>
      </w:r>
    </w:p>
    <w:tbl>
      <w:tblPr>
        <w:tblW w:w="104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90"/>
        <w:gridCol w:w="2090"/>
        <w:gridCol w:w="2090"/>
        <w:gridCol w:w="2090"/>
        <w:gridCol w:w="2090"/>
      </w:tblGrid>
      <w:tr>
        <w:trPr>
          <w:tblHeader w:val="true"/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Data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Nº da Revisão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Item/campo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Descrição da revisão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Responsável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25/08/2026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00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Emissão inicial da DTS do HERMES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Tecnologia da Informação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000000"/>
          <w:sz w:val="22"/>
        </w:rPr>
        <w:t>APROVAÇÃO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12"/>
        <w:gridCol w:w="2612"/>
        <w:gridCol w:w="2612"/>
        <w:gridCol w:w="2613"/>
      </w:tblGrid>
      <w:tr>
        <w:trPr>
          <w:tblHeader w:val="true"/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Papel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Nome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000000"/>
                <w:sz w:val="16"/>
              </w:rPr>
              <w:t>Assinatura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Elaboração — TI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Tecnologia da Informação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Validação — donos das regras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 — áreas usuárias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Aprovação — Coordenação de TI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Publicação — Qualidade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9" w:right="448" w:gutter="0" w:header="227" w:top="2269" w:footer="227" w:bottom="4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 w:val="false"/>
      <w:widowControl/>
      <w:spacing w:lineRule="auto" w:line="240" w:before="0" w:after="0"/>
      <w:jc w:val="center"/>
      <w:rPr/>
    </w:pPr>
    <w:r>
      <w:rPr>
        <w:rFonts w:eastAsia="Arial"/>
        <w:b/>
        <w:i w:val="false"/>
        <w:color w:val="000000"/>
        <w:sz w:val="17"/>
      </w:rPr>
      <w:t>Antes de imprimir, pense se é realmente necessário. O meio ambiente agradece ♻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 w:val="false"/>
      <w:widowControl/>
      <w:spacing w:lineRule="auto" w:line="240" w:before="0" w:after="0"/>
      <w:jc w:val="center"/>
      <w:rPr/>
    </w:pPr>
    <w:r>
      <w:rPr>
        <w:rFonts w:eastAsia="Arial"/>
        <w:b/>
        <w:i w:val="false"/>
        <w:color w:val="000000"/>
        <w:sz w:val="17"/>
      </w:rPr>
      <w:t>Antes de imprimir, pense se é realmente necessário. O meio ambiente agradece ♻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</w:r>
  </w:p>
  <w:tbl>
    <w:tblPr>
      <w:tblW w:w="1077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3591"/>
      <w:gridCol w:w="3591"/>
      <w:gridCol w:w="3591"/>
    </w:tblGrid>
    <w:tr>
      <w:trPr>
        <w:trHeight w:val="1701" w:hRule="atLeast"/>
      </w:trPr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/>
            <w:drawing>
              <wp:inline distT="0" distB="0" distL="0" distR="0">
                <wp:extent cx="1224280" cy="523875"/>
                <wp:effectExtent l="0" t="0" r="0" b="0"/>
                <wp:docPr id="1" name="Picture 1" descr="Logotipo Carmel Hotéis" title="Carmel Hoté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tipo Carmel Hotéis" title="Carmel Hoté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523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>
              <w:rFonts w:eastAsia="Arial"/>
              <w:b/>
              <w:i w:val="false"/>
              <w:color w:val="000000"/>
              <w:sz w:val="26"/>
            </w:rPr>
            <w:t>HERMES — AUTOMAÇÕES DE CONFERÊNCIA</w:t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tbl>
          <w:tblPr>
            <w:tblW w:w="2381" w:type="dxa"/>
            <w:jc w:val="center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firstRow="1" w:noVBand="1" w:lastRow="0" w:firstColumn="1" w:lastColumn="0" w:noHBand="0"/>
          </w:tblPr>
          <w:tblGrid>
            <w:gridCol w:w="2381"/>
          </w:tblGrid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Código: DTS-TIC-HERMES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Elaboração: 25/08/2026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Revisão: 00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Página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 de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40" w:before="0" w:after="40"/>
            <w:jc w:val="start"/>
            <w:rPr/>
          </w:pPr>
          <w:r>
            <w:rPr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</w:r>
  </w:p>
  <w:tbl>
    <w:tblPr>
      <w:tblW w:w="1077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3591"/>
      <w:gridCol w:w="3591"/>
      <w:gridCol w:w="3591"/>
    </w:tblGrid>
    <w:tr>
      <w:trPr>
        <w:trHeight w:val="1701" w:hRule="atLeast"/>
      </w:trPr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/>
            <w:drawing>
              <wp:inline distT="0" distB="0" distL="0" distR="0">
                <wp:extent cx="1224280" cy="523875"/>
                <wp:effectExtent l="0" t="0" r="0" b="0"/>
                <wp:docPr id="2" name="Picture 1" descr="Logotipo Carmel Hotéis" title="Carmel Hoté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Logotipo Carmel Hotéis" title="Carmel Hoté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523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>
              <w:rFonts w:eastAsia="Arial"/>
              <w:b/>
              <w:i w:val="false"/>
              <w:color w:val="000000"/>
              <w:sz w:val="26"/>
            </w:rPr>
            <w:t>HERMES — AUTOMAÇÕES DE CONFERÊNCIA</w:t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tbl>
          <w:tblPr>
            <w:tblW w:w="2381" w:type="dxa"/>
            <w:jc w:val="center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firstRow="1" w:noVBand="1" w:lastRow="0" w:firstColumn="1" w:lastColumn="0" w:noHBand="0"/>
          </w:tblPr>
          <w:tblGrid>
            <w:gridCol w:w="2381"/>
          </w:tblGrid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Código: DTS-TIC-HERMES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Elaboração: 25/08/2026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Revisão: 00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Página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 de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40" w:before="0" w:after="40"/>
            <w:jc w:val="start"/>
            <w:rPr/>
          </w:pPr>
          <w:r>
            <w:rPr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40"/>
      <w:jc w:val="start"/>
    </w:pPr>
    <w:rPr>
      <w:rFonts w:ascii="Arial" w:hAnsi="Arial" w:eastAsia="Arial" w:cs="" w:cstheme="minorBidi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Jheng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Jheng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LibreOffice/26.2.5.2$Windows_X86_64 LibreOffice_project/cd7284b4cbbfeb507e630c1aac019f4157393acb</Application>
  <AppVersion>15.0000</AppVersion>
  <Pages>5</Pages>
  <Words>2239</Words>
  <Characters>13276</Characters>
  <CharactersWithSpaces>15113</CharactersWithSpaces>
  <Paragraphs>435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Tecnologia da Informação</dc:creator>
  <dc:description>Documento corporativo do projeto HERMES.</dc:description>
  <dc:language>pt-BR</dc:language>
  <cp:lastModifiedBy/>
  <dcterms:modified xsi:type="dcterms:W3CDTF">2026-08-27T16:55:58Z</dcterms:modified>
  <cp:revision>3</cp:revision>
  <dc:subject>Documentação Técnica de Serviço do HERMES</dc:subject>
  <dc:title>DTS — HERMES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