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82D5FAC" w14:textId="77777777" w:rsidR="00CA6AD5" w:rsidRPr="00CA6AD5" w:rsidRDefault="00CA6AD5" w:rsidP="00CA6AD5">
      <w:pPr>
        <w:rPr>
          <w:b/>
          <w:bCs/>
        </w:rPr>
      </w:pPr>
      <w:bookmarkStart w:id="0" w:name="_Toc63699361"/>
      <w:r w:rsidRPr="00CA6AD5">
        <w:rPr>
          <w:b/>
          <w:bCs/>
          <w:sz w:val="28"/>
          <w:szCs w:val="28"/>
        </w:rPr>
        <w:t>The Central Limit Theorem</w:t>
      </w:r>
      <w:bookmarkEnd w:id="0"/>
    </w:p>
    <w:p w14:paraId="03318DC3" w14:textId="1F182312" w:rsidR="00CA6AD5" w:rsidRDefault="00CA6AD5" w:rsidP="00CA6AD5"/>
    <w:sdt>
      <w:sdtPr>
        <w:rPr>
          <w:rFonts w:ascii="Google Sans" w:eastAsiaTheme="minorHAnsi" w:hAnsi="Google Sans" w:cstheme="minorBidi"/>
          <w:sz w:val="24"/>
          <w:szCs w:val="24"/>
        </w:rPr>
        <w:id w:val="-273329170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7B12B369" w14:textId="518509F0" w:rsidR="00CA6AD5" w:rsidRPr="00CA6AD5" w:rsidRDefault="00CA6AD5" w:rsidP="00CA6AD5">
          <w:pPr>
            <w:pStyle w:val="TOCHeading"/>
            <w:rPr>
              <w:rFonts w:ascii="Google Sans" w:hAnsi="Google Sans"/>
              <w:szCs w:val="28"/>
            </w:rPr>
          </w:pPr>
          <w:r w:rsidRPr="00CA6AD5">
            <w:rPr>
              <w:rFonts w:ascii="Google Sans" w:hAnsi="Google Sans"/>
              <w:szCs w:val="28"/>
            </w:rPr>
            <w:t>Table of Contents</w:t>
          </w:r>
        </w:p>
        <w:p w14:paraId="4D93EE97" w14:textId="3BBFED27" w:rsidR="00CA6AD5" w:rsidRPr="00CA6AD5" w:rsidRDefault="00CA6AD5" w:rsidP="00CA6AD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CA6AD5">
            <w:fldChar w:fldCharType="begin"/>
          </w:r>
          <w:r w:rsidRPr="00CA6AD5">
            <w:instrText xml:space="preserve"> TOC \o "1-3" \h \z \u </w:instrText>
          </w:r>
          <w:r w:rsidRPr="00CA6AD5">
            <w:fldChar w:fldCharType="separate"/>
          </w:r>
          <w:hyperlink w:anchor="_Toc63699608" w:history="1">
            <w:r w:rsidRPr="00CA6AD5">
              <w:rPr>
                <w:rStyle w:val="Hyperlink"/>
                <w:noProof/>
                <w:color w:val="FFFFFF" w:themeColor="background1"/>
              </w:rPr>
              <w:t>Distribution of Sample Mean</w:t>
            </w:r>
            <w:r w:rsidRPr="00CA6AD5">
              <w:rPr>
                <w:noProof/>
                <w:webHidden/>
              </w:rPr>
              <w:tab/>
            </w:r>
            <w:r w:rsidRPr="00CA6AD5">
              <w:rPr>
                <w:noProof/>
                <w:webHidden/>
              </w:rPr>
              <w:fldChar w:fldCharType="begin"/>
            </w:r>
            <w:r w:rsidRPr="00CA6AD5">
              <w:rPr>
                <w:noProof/>
                <w:webHidden/>
              </w:rPr>
              <w:instrText xml:space="preserve"> PAGEREF _Toc63699608 \h </w:instrText>
            </w:r>
            <w:r w:rsidRPr="00CA6AD5">
              <w:rPr>
                <w:noProof/>
                <w:webHidden/>
              </w:rPr>
            </w:r>
            <w:r w:rsidRPr="00CA6AD5">
              <w:rPr>
                <w:noProof/>
                <w:webHidden/>
              </w:rPr>
              <w:fldChar w:fldCharType="separate"/>
            </w:r>
            <w:r w:rsidRPr="00CA6AD5">
              <w:rPr>
                <w:noProof/>
                <w:webHidden/>
              </w:rPr>
              <w:t>3</w:t>
            </w:r>
            <w:r w:rsidRPr="00CA6AD5">
              <w:rPr>
                <w:noProof/>
                <w:webHidden/>
              </w:rPr>
              <w:fldChar w:fldCharType="end"/>
            </w:r>
          </w:hyperlink>
        </w:p>
        <w:p w14:paraId="1779B9D5" w14:textId="3F34E694" w:rsidR="00CA6AD5" w:rsidRDefault="00CA6AD5" w:rsidP="00CA6AD5">
          <w:r w:rsidRPr="00CA6AD5">
            <w:rPr>
              <w:b/>
              <w:bCs/>
              <w:noProof/>
            </w:rPr>
            <w:fldChar w:fldCharType="end"/>
          </w:r>
        </w:p>
      </w:sdtContent>
    </w:sdt>
    <w:p w14:paraId="2286A01F" w14:textId="77777777" w:rsidR="00CA6AD5" w:rsidRDefault="00CA6AD5">
      <w:r>
        <w:br w:type="page"/>
      </w:r>
    </w:p>
    <w:p w14:paraId="4FBC0474" w14:textId="5CDCED40" w:rsidR="00CA6AD5" w:rsidRPr="00852004" w:rsidRDefault="00CA6AD5" w:rsidP="00CA6AD5">
      <w:pPr>
        <w:rPr>
          <w:rFonts w:eastAsiaTheme="minorEastAsia"/>
        </w:rPr>
      </w:pPr>
      <w:r>
        <w:lastRenderedPageBreak/>
        <w:t>In th</w:t>
      </w:r>
      <w:r w:rsidRPr="00852004">
        <w:t xml:space="preserve">e Central Limit Theorem (CLT), we have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852004">
        <w:rPr>
          <w:rFonts w:eastAsiaTheme="minorEastAsia"/>
        </w:rPr>
        <w:t xml:space="preserve"> IID random variables, and the sum of the random variables</w:t>
      </w:r>
    </w:p>
    <w:p w14:paraId="7B03AE1A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573B2516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 xml:space="preserve">We are interested in the distribution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52004">
        <w:rPr>
          <w:rFonts w:eastAsiaTheme="minorEastAsia"/>
        </w:rPr>
        <w:t xml:space="preserve">. In reality, we will get an approximate distribution.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52004">
        <w:rPr>
          <w:rFonts w:eastAsiaTheme="minorEastAsia"/>
        </w:rPr>
        <w:t xml:space="preserve"> gives us the sum of the values collected in a random sample. The CLT tells us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52004">
        <w:rPr>
          <w:rFonts w:eastAsiaTheme="minorEastAsia"/>
        </w:rPr>
        <w:t xml:space="preserve"> is approximately normal,</w:t>
      </w:r>
    </w:p>
    <w:p w14:paraId="130AB0C2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~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N(μ,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C2BCE4E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 xml:space="preserve">We need the mean, </w:t>
      </w:r>
    </w:p>
    <w:p w14:paraId="57965948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+…+E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DEBFBEB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 xml:space="preserve">Since the random variables have the same distribution function, </w:t>
      </w:r>
      <m:oMath>
        <m:r>
          <m:rPr>
            <m:sty m:val="p"/>
          </m:rP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=nμ</m:t>
        </m:r>
      </m:oMath>
      <w:r w:rsidRPr="00852004">
        <w:rPr>
          <w:rFonts w:eastAsiaTheme="minorEastAsia"/>
        </w:rPr>
        <w:t>.</w:t>
      </w:r>
    </w:p>
    <w:p w14:paraId="212C3B44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>Similarly, the variance is given by</w:t>
      </w:r>
    </w:p>
    <w:p w14:paraId="38EA71D3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+…+Var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=n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51D887E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>Note that variances cannot be summed up like this generally. This is only applicable in this case since the random variables are independent.</w:t>
      </w:r>
    </w:p>
    <w:p w14:paraId="2909FF46" w14:textId="77777777" w:rsidR="00CA6AD5" w:rsidRPr="00852004" w:rsidRDefault="00CA6AD5" w:rsidP="00CA6AD5">
      <w:pPr>
        <w:rPr>
          <w:rFonts w:eastAsiaTheme="minorEastAsia"/>
        </w:rPr>
      </w:pPr>
    </w:p>
    <w:p w14:paraId="7F92EE6D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>Thus,</w:t>
      </w:r>
    </w:p>
    <w:p w14:paraId="42D1CF2C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~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nμ, n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64708FC9" w14:textId="77777777" w:rsidR="00CA6AD5" w:rsidRDefault="00CA6AD5">
      <w:pPr>
        <w:rPr>
          <w:b/>
          <w:bCs/>
        </w:rPr>
      </w:pPr>
      <w:bookmarkStart w:id="1" w:name="_Toc63699362"/>
      <w:r>
        <w:br w:type="page"/>
      </w:r>
    </w:p>
    <w:p w14:paraId="215786EA" w14:textId="21B98002" w:rsidR="00CA6AD5" w:rsidRPr="00852004" w:rsidRDefault="00CA6AD5" w:rsidP="00CA6AD5">
      <w:pPr>
        <w:pStyle w:val="Heading2"/>
      </w:pPr>
      <w:bookmarkStart w:id="2" w:name="_Toc63699608"/>
      <w:r w:rsidRPr="00852004">
        <w:lastRenderedPageBreak/>
        <w:t>Distribution of Sample Mean</w:t>
      </w:r>
      <w:bookmarkEnd w:id="1"/>
      <w:bookmarkEnd w:id="2"/>
    </w:p>
    <w:p w14:paraId="35DF77BB" w14:textId="77777777" w:rsidR="00CA6AD5" w:rsidRPr="00852004" w:rsidRDefault="00CA6AD5" w:rsidP="00CA6AD5">
      <w:pPr>
        <w:rPr>
          <w:rFonts w:eastAsiaTheme="minorEastAsia"/>
        </w:rPr>
      </w:pPr>
      <w:r w:rsidRPr="00852004">
        <w:t xml:space="preserve">Assume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52004">
        <w:rPr>
          <w:rFonts w:eastAsiaTheme="minorEastAsia"/>
        </w:rPr>
        <w:t xml:space="preserve"> are IIDs and a random sample. Not all IIDs are random samples, but all random samples are IIDs. For this random sample, say the population mean is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</m:oMath>
      <w:r w:rsidRPr="00852004">
        <w:rPr>
          <w:rFonts w:eastAsiaTheme="minorEastAsia"/>
        </w:rPr>
        <w:t xml:space="preserve"> and the population variance is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52004">
        <w:rPr>
          <w:rFonts w:eastAsiaTheme="minorEastAsia"/>
        </w:rPr>
        <w:t>.</w:t>
      </w:r>
    </w:p>
    <w:p w14:paraId="590107AA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>The sample mean is given by</w:t>
      </w:r>
    </w:p>
    <w:p w14:paraId="178FF095" w14:textId="77777777" w:rsidR="00CA6AD5" w:rsidRPr="00852004" w:rsidRDefault="005A3CAD" w:rsidP="00CA6AD5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80D4638" w14:textId="77777777" w:rsidR="00CA6AD5" w:rsidRPr="00852004" w:rsidRDefault="005A3CAD" w:rsidP="00CA6AD5">
      <w:p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 w:rsidR="00CA6AD5" w:rsidRPr="00852004">
        <w:rPr>
          <w:rFonts w:eastAsiaTheme="minorEastAsia"/>
        </w:rPr>
        <w:t xml:space="preserve"> is a function of random variables. As such, it is a random variable as well. This makes sense. Every time we collect a random sample, the value of the average data is going to change, which means the value of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 w:rsidR="00CA6AD5" w:rsidRPr="00852004">
        <w:rPr>
          <w:rFonts w:eastAsiaTheme="minorEastAsia"/>
        </w:rPr>
        <w:t xml:space="preserve"> will also change.</w:t>
      </w:r>
    </w:p>
    <w:p w14:paraId="004B8DC4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 xml:space="preserve">Since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 w:rsidRPr="00852004">
        <w:rPr>
          <w:rFonts w:eastAsiaTheme="minorEastAsia"/>
        </w:rPr>
        <w:t xml:space="preserve"> is a random variable, we can have an expected value, variance, distribution etc.</w:t>
      </w:r>
    </w:p>
    <w:p w14:paraId="6D8A4D40" w14:textId="77777777" w:rsidR="00CA6AD5" w:rsidRPr="00852004" w:rsidRDefault="00CA6AD5" w:rsidP="00CA6AD5">
      <w:pPr>
        <w:rPr>
          <w:rFonts w:eastAsiaTheme="minorEastAsia"/>
        </w:rPr>
      </w:pPr>
    </w:p>
    <w:p w14:paraId="6DC2812A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×n×μ=μ</m:t>
          </m:r>
        </m:oMath>
      </m:oMathPara>
    </w:p>
    <w:p w14:paraId="59E22CA8" w14:textId="77777777" w:rsidR="00CA6AD5" w:rsidRPr="00852004" w:rsidRDefault="00CA6AD5" w:rsidP="00CA6AD5">
      <w:pPr>
        <w:rPr>
          <w:rFonts w:eastAsiaTheme="minorEastAsia"/>
        </w:rPr>
      </w:pPr>
      <w:r w:rsidRPr="00852004">
        <w:rPr>
          <w:rFonts w:eastAsiaTheme="minorEastAsia"/>
        </w:rPr>
        <w:t>Thus, the expected value of the sample mean is the same as the population mean.</w:t>
      </w:r>
    </w:p>
    <w:p w14:paraId="54D8015F" w14:textId="77777777" w:rsidR="00CA6AD5" w:rsidRPr="00852004" w:rsidRDefault="00CA6AD5" w:rsidP="00CA6AD5">
      <w:pPr>
        <w:rPr>
          <w:rFonts w:eastAsiaTheme="minorEastAsia"/>
        </w:rPr>
      </w:pPr>
    </w:p>
    <w:p w14:paraId="7DB97944" w14:textId="77777777" w:rsidR="00CA6AD5" w:rsidRPr="00852004" w:rsidRDefault="00CA6AD5" w:rsidP="00CA6AD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×n×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6215B11D" w14:textId="4D4901AA" w:rsidR="005E2453" w:rsidRDefault="00CA6AD5">
      <w:r w:rsidRPr="00852004">
        <w:rPr>
          <w:rFonts w:eastAsiaTheme="minorEastAsia"/>
        </w:rPr>
        <w:t xml:space="preserve">The variance of the sample mean is the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852004">
        <w:rPr>
          <w:rFonts w:eastAsiaTheme="minorEastAsia"/>
        </w:rPr>
        <w:t xml:space="preserve">-th fraction of the population variance. This means that as we increase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852004">
        <w:rPr>
          <w:rFonts w:eastAsiaTheme="minorEastAsia"/>
        </w:rPr>
        <w:t xml:space="preserve">, the graph for the variance of the sample mean will begin to converge. Eventually, this value will become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852004">
        <w:rPr>
          <w:rFonts w:eastAsiaTheme="minorEastAsia"/>
        </w:rPr>
        <w:t xml:space="preserve"> when we take the data from the entire population.</w:t>
      </w:r>
    </w:p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969B56-74C6-4EFF-9159-91BAFD5B18DF}"/>
    <w:embedBold r:id="rId2" w:fontKey="{68FFED67-70A6-40B4-98C1-CC36E833BD6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F0D0CEC-B3B3-401D-8EAB-AF2271EB64CF}"/>
    <w:embedBold r:id="rId4" w:fontKey="{A0E6A1C5-8A25-408E-90B3-3C48116E284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90B6FF8-F25A-4879-9DAC-2502A71162B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FDA9A60-1B3B-4F13-AD00-5ECFBDE81DE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AD5"/>
    <w:rsid w:val="00003CCB"/>
    <w:rsid w:val="00037E98"/>
    <w:rsid w:val="00075ED4"/>
    <w:rsid w:val="000A6B7A"/>
    <w:rsid w:val="000C78D5"/>
    <w:rsid w:val="0033230D"/>
    <w:rsid w:val="00583623"/>
    <w:rsid w:val="005A3CAD"/>
    <w:rsid w:val="005E2453"/>
    <w:rsid w:val="006457D9"/>
    <w:rsid w:val="00AE4721"/>
    <w:rsid w:val="00C401A4"/>
    <w:rsid w:val="00CA6AD5"/>
    <w:rsid w:val="00CC28F1"/>
    <w:rsid w:val="00D11C51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801C36E"/>
  <w14:defaultImageDpi w14:val="32767"/>
  <w15:chartTrackingRefBased/>
  <w15:docId w15:val="{D03E9050-DACC-4605-B6D8-FDFD132A5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B7A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B7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B7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6B7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B7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A6B7A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A6B7A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6B7A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0A6B7A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A6B7A"/>
  </w:style>
  <w:style w:type="paragraph" w:styleId="TOC3">
    <w:name w:val="toc 3"/>
    <w:basedOn w:val="Normal"/>
    <w:next w:val="Normal"/>
    <w:autoRedefine/>
    <w:uiPriority w:val="39"/>
    <w:semiHidden/>
    <w:unhideWhenUsed/>
    <w:rsid w:val="000A6B7A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0A6B7A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0A6B7A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CA6AD5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290C3-ACD1-45B2-9140-2892816E3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