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30FC59A4" w14:textId="2EE009E2" w:rsidR="003F49E0" w:rsidRPr="00F5546E" w:rsidRDefault="003F49E0" w:rsidP="00D37230">
      <w:pPr>
        <w:rPr>
          <w:szCs w:val="24"/>
        </w:rPr>
      </w:pPr>
      <w:r w:rsidRPr="00F5546E">
        <w:rPr>
          <w:b/>
          <w:bCs/>
          <w:sz w:val="28"/>
          <w:szCs w:val="28"/>
        </w:rPr>
        <w:t>Chain Rules for Functions of Several Variables</w:t>
      </w:r>
    </w:p>
    <w:sdt>
      <w:sdtPr>
        <w:rPr>
          <w:rFonts w:eastAsiaTheme="minorHAnsi" w:cstheme="minorBidi"/>
          <w:sz w:val="24"/>
          <w:szCs w:val="22"/>
        </w:rPr>
        <w:id w:val="-6837544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BA9F28" w14:textId="0E831567" w:rsidR="005571C4" w:rsidRDefault="005571C4">
          <w:pPr>
            <w:pStyle w:val="TOCHeading"/>
          </w:pPr>
          <w:r>
            <w:t>Table of Contents</w:t>
          </w:r>
        </w:p>
        <w:p w14:paraId="01817AD9" w14:textId="794D75AE" w:rsidR="005571C4" w:rsidRDefault="005571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89878" w:history="1">
            <w:r w:rsidRPr="008D59E1">
              <w:rPr>
                <w:rStyle w:val="Hyperlink"/>
                <w:noProof/>
              </w:rPr>
              <w:t>Implicit Partial Differentiation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_Toc82189878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9C381" w14:textId="7AB70A98" w:rsidR="005571C4" w:rsidRDefault="005571C4" w:rsidP="00D3723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B1E5BC8" w14:textId="77777777" w:rsidR="005571C4" w:rsidRDefault="005571C4">
      <w:pPr>
        <w:spacing w:after="160" w:line="259" w:lineRule="auto"/>
        <w:jc w:val="left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63E7F1ED" w14:textId="698D41FF" w:rsidR="003F49E0" w:rsidRDefault="003F49E0" w:rsidP="00D37230">
      <w:pPr>
        <w:rPr>
          <w:rFonts w:eastAsiaTheme="minorEastAsia"/>
          <w:szCs w:val="24"/>
        </w:rPr>
      </w:pPr>
      <w:r>
        <w:rPr>
          <w:szCs w:val="24"/>
        </w:rPr>
        <w:lastRenderedPageBreak/>
        <w:t xml:space="preserve">Say </w:t>
      </w:r>
      <m:oMath>
        <m:r>
          <w:rPr>
            <w:rFonts w:ascii="Cambria Math" w:hAnsi="Cambria Math"/>
            <w:szCs w:val="24"/>
          </w:rPr>
          <m:t>y=f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/>
                <w:szCs w:val="24"/>
              </w:rPr>
              <m:t>2</m:t>
            </m:r>
          </m:sup>
        </m:sSup>
      </m:oMath>
      <w:r>
        <w:rPr>
          <w:rFonts w:eastAsiaTheme="minorEastAsia"/>
          <w:szCs w:val="24"/>
        </w:rPr>
        <w:t xml:space="preserve"> and </w:t>
      </w:r>
      <m:oMath>
        <m:r>
          <w:rPr>
            <w:rFonts w:ascii="Cambria Math" w:eastAsiaTheme="minorEastAsia" w:hAnsi="Cambria Math"/>
            <w:szCs w:val="24"/>
          </w:rPr>
          <m:t>x=g</m:t>
        </m:r>
        <m:d>
          <m:dPr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Cs w:val="24"/>
              </w:rPr>
              <m:t>t</m:t>
            </m:r>
          </m:e>
        </m:d>
        <m:r>
          <w:rPr>
            <w:rFonts w:ascii="Cambria Math" w:eastAsiaTheme="minorEastAsia" w:hAnsi="Cambria Math"/>
            <w:szCs w:val="24"/>
          </w:rPr>
          <m:t>=2t</m:t>
        </m:r>
      </m:oMath>
      <w:r>
        <w:rPr>
          <w:rFonts w:eastAsiaTheme="minorEastAsia"/>
          <w:szCs w:val="24"/>
        </w:rPr>
        <w:t>. Thus,</w:t>
      </w:r>
    </w:p>
    <w:p w14:paraId="4DB047EF" w14:textId="5BA71B29" w:rsidR="003F49E0" w:rsidRPr="003F49E0" w:rsidRDefault="00984D58" w:rsidP="00D37230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dt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dx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=2t×</m:t>
          </m:r>
          <m:f>
            <m:fPr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Cs w:val="24"/>
            </w:rPr>
            <m:t>=t</m:t>
          </m:r>
        </m:oMath>
      </m:oMathPara>
    </w:p>
    <w:p w14:paraId="34C9CFFB" w14:textId="76C5D7D9" w:rsidR="003F49E0" w:rsidRDefault="003F49E0" w:rsidP="00D37230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The above process is known as the </w:t>
      </w:r>
      <w:r w:rsidRPr="00F5546E">
        <w:rPr>
          <w:rFonts w:eastAsiaTheme="minorEastAsia"/>
          <w:b/>
          <w:bCs/>
          <w:color w:val="66D9EE" w:themeColor="accent3"/>
          <w:szCs w:val="24"/>
        </w:rPr>
        <w:t>chain rule</w:t>
      </w:r>
      <w:r>
        <w:rPr>
          <w:rFonts w:eastAsiaTheme="minorEastAsia"/>
          <w:szCs w:val="24"/>
        </w:rPr>
        <w:t>.</w:t>
      </w:r>
    </w:p>
    <w:p w14:paraId="1EF6A7FB" w14:textId="0418D600" w:rsidR="003F49E0" w:rsidRDefault="003F49E0" w:rsidP="00D37230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From this, if we shift to functions of </w:t>
      </w:r>
      <w:r w:rsidRPr="00F5546E">
        <w:rPr>
          <w:rFonts w:eastAsiaTheme="minorEastAsia"/>
          <w:b/>
          <w:bCs/>
          <w:color w:val="66D9EE" w:themeColor="accent3"/>
          <w:szCs w:val="24"/>
        </w:rPr>
        <w:t>two variables</w:t>
      </w:r>
      <w:r>
        <w:rPr>
          <w:rFonts w:eastAsiaTheme="minorEastAsia"/>
          <w:szCs w:val="24"/>
        </w:rPr>
        <w:t>, the situation becomes like this:</w:t>
      </w:r>
    </w:p>
    <w:p w14:paraId="47D67F0A" w14:textId="5D65FFA3" w:rsidR="003F49E0" w:rsidRPr="00051C29" w:rsidRDefault="00984D58" w:rsidP="00D37230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dw</m:t>
              </m:r>
            </m:num>
            <m:den>
              <m:r>
                <w:rPr>
                  <w:rFonts w:ascii="Cambria Math" w:hAnsi="Cambria Math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δw</m:t>
              </m:r>
            </m:num>
            <m:den>
              <m:r>
                <w:rPr>
                  <w:rFonts w:ascii="Cambria Math" w:hAnsi="Cambria Math"/>
                  <w:szCs w:val="24"/>
                </w:rPr>
                <m:t>δx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δw</m:t>
              </m:r>
            </m:num>
            <m:den>
              <m:r>
                <w:rPr>
                  <w:rFonts w:ascii="Cambria Math" w:hAnsi="Cambria Math"/>
                  <w:szCs w:val="24"/>
                </w:rPr>
                <m:t>δy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Cs w:val="24"/>
                </w:rPr>
                <m:t>dt</m:t>
              </m:r>
            </m:den>
          </m:f>
        </m:oMath>
      </m:oMathPara>
    </w:p>
    <w:p w14:paraId="2D0D00D5" w14:textId="5D9D1420" w:rsidR="00051C29" w:rsidRDefault="00051C29" w:rsidP="00D37230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This can be extended further to accommodate more variables.</w:t>
      </w:r>
    </w:p>
    <w:p w14:paraId="6E19F321" w14:textId="1D54EAA2" w:rsidR="00051C29" w:rsidRDefault="00051C29" w:rsidP="00D37230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We can even consider a case where the independent variables themselves are functions of two variables.</w:t>
      </w:r>
    </w:p>
    <w:p w14:paraId="5DBA00D2" w14:textId="42F9B9A8" w:rsidR="00051C29" w:rsidRPr="00051C29" w:rsidRDefault="00051C29" w:rsidP="00F5546E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w=f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x, y</m:t>
              </m:r>
            </m:e>
          </m:d>
        </m:oMath>
      </m:oMathPara>
    </w:p>
    <w:p w14:paraId="01542E76" w14:textId="03054E62" w:rsidR="00051C29" w:rsidRPr="00051C29" w:rsidRDefault="00051C29" w:rsidP="00F5546E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x=g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s, t</m:t>
              </m:r>
            </m:e>
          </m:d>
        </m:oMath>
      </m:oMathPara>
    </w:p>
    <w:p w14:paraId="7D9CB1EB" w14:textId="4F95C67C" w:rsidR="00051C29" w:rsidRPr="00051C29" w:rsidRDefault="00051C29" w:rsidP="00D37230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y=h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s, t</m:t>
              </m:r>
            </m:e>
          </m:d>
        </m:oMath>
      </m:oMathPara>
    </w:p>
    <w:p w14:paraId="3FEC674D" w14:textId="66DEE575" w:rsidR="00051C29" w:rsidRPr="00051C29" w:rsidRDefault="00984D58" w:rsidP="00F5546E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δw</m:t>
              </m:r>
            </m:num>
            <m:den>
              <m:r>
                <w:rPr>
                  <w:rFonts w:ascii="Cambria Math" w:hAnsi="Cambria Math"/>
                  <w:szCs w:val="24"/>
                </w:rPr>
                <m:t>δs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δw</m:t>
              </m:r>
            </m:num>
            <m:den>
              <m:r>
                <w:rPr>
                  <w:rFonts w:ascii="Cambria Math" w:hAnsi="Cambria Math"/>
                  <w:szCs w:val="24"/>
                </w:rPr>
                <m:t>δx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δx</m:t>
              </m:r>
            </m:num>
            <m:den>
              <m:r>
                <w:rPr>
                  <w:rFonts w:ascii="Cambria Math" w:hAnsi="Cambria Math"/>
                  <w:szCs w:val="24"/>
                </w:rPr>
                <m:t>δs</m:t>
              </m: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δw</m:t>
              </m:r>
            </m:num>
            <m:den>
              <m:r>
                <w:rPr>
                  <w:rFonts w:ascii="Cambria Math" w:hAnsi="Cambria Math"/>
                  <w:szCs w:val="24"/>
                </w:rPr>
                <m:t>δy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δy</m:t>
              </m:r>
            </m:num>
            <m:den>
              <m:r>
                <w:rPr>
                  <w:rFonts w:ascii="Cambria Math" w:hAnsi="Cambria Math"/>
                  <w:szCs w:val="24"/>
                </w:rPr>
                <m:t>δs</m:t>
              </m:r>
            </m:den>
          </m:f>
        </m:oMath>
      </m:oMathPara>
    </w:p>
    <w:p w14:paraId="1E44E238" w14:textId="65206E06" w:rsidR="00051C29" w:rsidRPr="003F49E0" w:rsidRDefault="00984D58" w:rsidP="00051C29">
      <w:pPr>
        <w:rPr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δw</m:t>
              </m:r>
            </m:num>
            <m:den>
              <m:r>
                <w:rPr>
                  <w:rFonts w:ascii="Cambria Math" w:hAnsi="Cambria Math"/>
                  <w:szCs w:val="24"/>
                </w:rPr>
                <m:t>δt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δw</m:t>
              </m:r>
            </m:num>
            <m:den>
              <m:r>
                <w:rPr>
                  <w:rFonts w:ascii="Cambria Math" w:hAnsi="Cambria Math"/>
                  <w:szCs w:val="24"/>
                </w:rPr>
                <m:t>δx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δx</m:t>
              </m:r>
            </m:num>
            <m:den>
              <m:r>
                <w:rPr>
                  <w:rFonts w:ascii="Cambria Math" w:hAnsi="Cambria Math"/>
                  <w:szCs w:val="24"/>
                </w:rPr>
                <m:t>δt</m:t>
              </m: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δw</m:t>
              </m:r>
            </m:num>
            <m:den>
              <m:r>
                <w:rPr>
                  <w:rFonts w:ascii="Cambria Math" w:hAnsi="Cambria Math"/>
                  <w:szCs w:val="24"/>
                </w:rPr>
                <m:t>δy</m:t>
              </m:r>
            </m:den>
          </m:f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δy</m:t>
              </m:r>
            </m:num>
            <m:den>
              <m:r>
                <w:rPr>
                  <w:rFonts w:ascii="Cambria Math" w:hAnsi="Cambria Math"/>
                  <w:szCs w:val="24"/>
                </w:rPr>
                <m:t>δt</m:t>
              </m:r>
            </m:den>
          </m:f>
        </m:oMath>
      </m:oMathPara>
    </w:p>
    <w:p w14:paraId="00007556" w14:textId="6434BA96" w:rsidR="005571C4" w:rsidRDefault="005571C4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0790C3A1" w14:textId="066E5E17" w:rsidR="00BA1EED" w:rsidRPr="00F5546E" w:rsidRDefault="00BA1EED" w:rsidP="00BA1EED">
      <w:pPr>
        <w:pStyle w:val="Heading2"/>
      </w:pPr>
      <w:bookmarkStart w:id="0" w:name="_Toc82189878"/>
      <w:r w:rsidRPr="00F5546E">
        <w:lastRenderedPageBreak/>
        <w:t>Implicit Partial Differentiation</w:t>
      </w:r>
      <w:bookmarkEnd w:id="0"/>
    </w:p>
    <w:p w14:paraId="177D0875" w14:textId="1F724687" w:rsidR="00F5546E" w:rsidRDefault="00F5546E" w:rsidP="00BA1EED">
      <w:pPr>
        <w:rPr>
          <w:rFonts w:eastAsiaTheme="minorEastAsia"/>
        </w:rPr>
      </w:pPr>
      <w:r>
        <w:t xml:space="preserve">An </w:t>
      </w:r>
      <w:r w:rsidRPr="00F5546E">
        <w:rPr>
          <w:b/>
          <w:bCs/>
          <w:color w:val="66D9EE" w:themeColor="accent3"/>
        </w:rPr>
        <w:t>implicit function</w:t>
      </w:r>
      <w:r>
        <w:t xml:space="preserve"> is one where the </w:t>
      </w:r>
      <w:r w:rsidRPr="00F5546E">
        <w:rPr>
          <w:b/>
          <w:bCs/>
          <w:color w:val="66D9EE" w:themeColor="accent3"/>
        </w:rPr>
        <w:t>independent variable cannot be determined</w:t>
      </w:r>
      <w:r>
        <w:t xml:space="preserve">. For example,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y+2xy+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=3</m:t>
        </m:r>
      </m:oMath>
      <w:r>
        <w:rPr>
          <w:rFonts w:eastAsiaTheme="minorEastAsia"/>
        </w:rPr>
        <w:t xml:space="preserve"> is an implicit function.</w:t>
      </w:r>
    </w:p>
    <w:p w14:paraId="0CAD731E" w14:textId="751B740B" w:rsidR="00F5546E" w:rsidRDefault="00F5546E" w:rsidP="00BA1EED">
      <w:pPr>
        <w:rPr>
          <w:rFonts w:eastAsiaTheme="minorEastAsia"/>
        </w:rPr>
      </w:pPr>
      <w:r>
        <w:rPr>
          <w:rFonts w:eastAsiaTheme="minorEastAsia"/>
        </w:rPr>
        <w:t xml:space="preserve">For such functions, when finding the derivative </w:t>
      </w:r>
      <w:r w:rsidRPr="00F5546E">
        <w:rPr>
          <w:rFonts w:eastAsiaTheme="minorEastAsia"/>
          <w:b/>
          <w:bCs/>
          <w:color w:val="66D9EE" w:themeColor="accent3"/>
        </w:rPr>
        <w:t>implicitly</w:t>
      </w:r>
      <w:r>
        <w:rPr>
          <w:rFonts w:eastAsiaTheme="minorEastAsia"/>
        </w:rPr>
        <w:t>, we consider one variable to be a function of the other. Thus, for the above example,</w:t>
      </w:r>
    </w:p>
    <w:p w14:paraId="393FB658" w14:textId="0A623740" w:rsidR="00F5546E" w:rsidRPr="00F5546E" w:rsidRDefault="00984D58" w:rsidP="00BA1EE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+y⋅2x+2x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eastAsiaTheme="minorEastAsia" w:hAnsi="Cambria Math"/>
            </w:rPr>
            <m:t>2y⋅1+3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74EE35C3" w14:textId="37497FD3" w:rsidR="00F5546E" w:rsidRDefault="00F5546E" w:rsidP="00BA1EED">
      <w:pPr>
        <w:rPr>
          <w:rFonts w:eastAsiaTheme="minorEastAsia"/>
        </w:rPr>
      </w:pPr>
      <w:r>
        <w:rPr>
          <w:rFonts w:eastAsiaTheme="minorEastAsia"/>
        </w:rPr>
        <w:t xml:space="preserve">For </w:t>
      </w:r>
      <w:r w:rsidRPr="00F5546E">
        <w:rPr>
          <w:rFonts w:eastAsiaTheme="minorEastAsia"/>
          <w:b/>
          <w:bCs/>
          <w:color w:val="66D9EE" w:themeColor="accent3"/>
        </w:rPr>
        <w:t>multiple variables</w:t>
      </w:r>
      <w:r>
        <w:rPr>
          <w:rFonts w:eastAsiaTheme="minorEastAsia"/>
        </w:rPr>
        <w:t>, such a scenario is solved as:</w:t>
      </w:r>
    </w:p>
    <w:p w14:paraId="00F5539E" w14:textId="55DB7271" w:rsidR="00F5546E" w:rsidRPr="00F5546E" w:rsidRDefault="00984D58" w:rsidP="00BA1EE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dw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δw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δw</m:t>
              </m:r>
            </m:num>
            <m:den>
              <m:r>
                <w:rPr>
                  <w:rFonts w:ascii="Cambria Math" w:hAnsi="Cambria Math"/>
                </w:rPr>
                <m:t>δy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sectPr w:rsidR="00F5546E" w:rsidRPr="00F55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82ADD91-2D2B-467A-AC9C-4343AECC478C}"/>
    <w:embedBold r:id="rId2" w:fontKey="{BDF52E32-F42A-4701-826B-68A0DA4824D1}"/>
    <w:embedItalic r:id="rId3" w:fontKey="{48FC3E06-6944-48E0-A24B-AF028E23102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4" w:fontKey="{723F5128-DBAA-40A7-B825-7931BD41D3A3}"/>
    <w:embedBold r:id="rId5" w:fontKey="{517B7517-3DB6-42B5-A1D7-15FD8E42BFB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A5CAE092-5319-4403-8C65-24E17DFBDDF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FC5BBAF3-E60C-49C3-B96A-E220A4D48AE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9E0"/>
    <w:rsid w:val="00051C29"/>
    <w:rsid w:val="003B176B"/>
    <w:rsid w:val="003F49E0"/>
    <w:rsid w:val="004732B1"/>
    <w:rsid w:val="0052736E"/>
    <w:rsid w:val="005571C4"/>
    <w:rsid w:val="00726654"/>
    <w:rsid w:val="008B01E0"/>
    <w:rsid w:val="00984D58"/>
    <w:rsid w:val="00BA1EED"/>
    <w:rsid w:val="00D37230"/>
    <w:rsid w:val="00F5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30074"/>
  <w15:chartTrackingRefBased/>
  <w15:docId w15:val="{0A520CF1-B6DE-47E5-8267-5AB6CA7E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2B1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32B1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32B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2B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2B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2B1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32B1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2B1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2B1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732B1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732B1"/>
  </w:style>
  <w:style w:type="paragraph" w:styleId="TOC2">
    <w:name w:val="toc 2"/>
    <w:basedOn w:val="Normal"/>
    <w:next w:val="Normal"/>
    <w:autoRedefine/>
    <w:uiPriority w:val="39"/>
    <w:unhideWhenUsed/>
    <w:rsid w:val="004732B1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732B1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3F49E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571C4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74C18-CD21-4BD5-A9DD-B08E54BBC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2022-01-08T10:06:00Z</dcterms:created>
  <dcterms:modified xsi:type="dcterms:W3CDTF">2022-01-09T19:10:00Z</dcterms:modified>
</cp:coreProperties>
</file>