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1EF3A3C0" w14:textId="78F2E3E1" w:rsidR="00F84F57" w:rsidRDefault="00F84F57" w:rsidP="000E1021">
      <w:pPr>
        <w:pStyle w:val="Title"/>
      </w:pPr>
      <w:r w:rsidRPr="000E1021">
        <w:t>Financial Statement Analysis</w:t>
      </w:r>
    </w:p>
    <w:sdt>
      <w:sdtPr>
        <w:rPr>
          <w:rFonts w:eastAsiaTheme="minorHAnsi" w:cstheme="minorBidi"/>
          <w:sz w:val="24"/>
          <w:szCs w:val="22"/>
        </w:rPr>
        <w:id w:val="-47226833"/>
        <w:docPartObj>
          <w:docPartGallery w:val="Table of Contents"/>
          <w:docPartUnique/>
        </w:docPartObj>
      </w:sdtPr>
      <w:sdtEndPr>
        <w:rPr>
          <w:b/>
          <w:bCs/>
          <w:noProof/>
        </w:rPr>
      </w:sdtEndPr>
      <w:sdtContent>
        <w:p w14:paraId="65043278" w14:textId="2FE099BE" w:rsidR="004C7EA2" w:rsidRDefault="004C7EA2">
          <w:pPr>
            <w:pStyle w:val="TOCHeading"/>
          </w:pPr>
          <w:r>
            <w:t>Table of Contents</w:t>
          </w:r>
        </w:p>
        <w:p w14:paraId="6FBD7C85" w14:textId="71919552" w:rsidR="004C7EA2" w:rsidRDefault="004C7EA2">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99406409" w:history="1">
            <w:r w:rsidRPr="00FE1F84">
              <w:rPr>
                <w:rStyle w:val="Hyperlink"/>
                <w:noProof/>
              </w:rPr>
              <w:t>Comparative Analysis</w:t>
            </w:r>
            <w:r>
              <w:rPr>
                <w:noProof/>
                <w:webHidden/>
              </w:rPr>
              <w:tab/>
            </w:r>
            <w:r>
              <w:rPr>
                <w:noProof/>
                <w:webHidden/>
              </w:rPr>
              <w:fldChar w:fldCharType="begin"/>
            </w:r>
            <w:r>
              <w:rPr>
                <w:noProof/>
                <w:webHidden/>
              </w:rPr>
              <w:instrText xml:space="preserve"> PAGEREF _Toc99406409 \h </w:instrText>
            </w:r>
            <w:r>
              <w:rPr>
                <w:noProof/>
                <w:webHidden/>
              </w:rPr>
            </w:r>
            <w:r>
              <w:rPr>
                <w:noProof/>
                <w:webHidden/>
              </w:rPr>
              <w:fldChar w:fldCharType="separate"/>
            </w:r>
            <w:r>
              <w:rPr>
                <w:noProof/>
                <w:webHidden/>
              </w:rPr>
              <w:t>3</w:t>
            </w:r>
            <w:r>
              <w:rPr>
                <w:noProof/>
                <w:webHidden/>
              </w:rPr>
              <w:fldChar w:fldCharType="end"/>
            </w:r>
          </w:hyperlink>
        </w:p>
        <w:p w14:paraId="535EF63F" w14:textId="0448524E" w:rsidR="004C7EA2" w:rsidRDefault="00E329C0">
          <w:pPr>
            <w:pStyle w:val="TOC2"/>
            <w:tabs>
              <w:tab w:val="right" w:leader="dot" w:pos="9016"/>
            </w:tabs>
            <w:rPr>
              <w:rFonts w:asciiTheme="minorHAnsi" w:eastAsiaTheme="minorEastAsia" w:hAnsiTheme="minorHAnsi"/>
              <w:noProof/>
              <w:color w:val="auto"/>
              <w:sz w:val="22"/>
              <w:lang w:eastAsia="en-GB"/>
            </w:rPr>
          </w:pPr>
          <w:hyperlink w:anchor="_Toc99406410" w:history="1">
            <w:r w:rsidR="004C7EA2" w:rsidRPr="00FE1F84">
              <w:rPr>
                <w:rStyle w:val="Hyperlink"/>
                <w:noProof/>
              </w:rPr>
              <w:t>Tools of Analysis</w:t>
            </w:r>
            <w:r w:rsidR="004C7EA2">
              <w:rPr>
                <w:noProof/>
                <w:webHidden/>
              </w:rPr>
              <w:tab/>
            </w:r>
            <w:r w:rsidR="004C7EA2">
              <w:rPr>
                <w:noProof/>
                <w:webHidden/>
              </w:rPr>
              <w:fldChar w:fldCharType="begin"/>
            </w:r>
            <w:r w:rsidR="004C7EA2">
              <w:rPr>
                <w:noProof/>
                <w:webHidden/>
              </w:rPr>
              <w:instrText xml:space="preserve"> PAGEREF _Toc99406410 \h </w:instrText>
            </w:r>
            <w:r w:rsidR="004C7EA2">
              <w:rPr>
                <w:noProof/>
                <w:webHidden/>
              </w:rPr>
            </w:r>
            <w:r w:rsidR="004C7EA2">
              <w:rPr>
                <w:noProof/>
                <w:webHidden/>
              </w:rPr>
              <w:fldChar w:fldCharType="separate"/>
            </w:r>
            <w:r w:rsidR="004C7EA2">
              <w:rPr>
                <w:noProof/>
                <w:webHidden/>
              </w:rPr>
              <w:t>3</w:t>
            </w:r>
            <w:r w:rsidR="004C7EA2">
              <w:rPr>
                <w:noProof/>
                <w:webHidden/>
              </w:rPr>
              <w:fldChar w:fldCharType="end"/>
            </w:r>
          </w:hyperlink>
        </w:p>
        <w:p w14:paraId="7D19B982" w14:textId="008DDBEE" w:rsidR="004C7EA2" w:rsidRDefault="00E329C0">
          <w:pPr>
            <w:pStyle w:val="TOC3"/>
            <w:tabs>
              <w:tab w:val="right" w:leader="dot" w:pos="9016"/>
            </w:tabs>
            <w:rPr>
              <w:rFonts w:asciiTheme="minorHAnsi" w:eastAsiaTheme="minorEastAsia" w:hAnsiTheme="minorHAnsi"/>
              <w:noProof/>
              <w:color w:val="auto"/>
              <w:sz w:val="22"/>
              <w:lang w:eastAsia="en-GB"/>
            </w:rPr>
          </w:pPr>
          <w:hyperlink w:anchor="_Toc99406411" w:history="1">
            <w:r w:rsidR="004C7EA2" w:rsidRPr="00FE1F84">
              <w:rPr>
                <w:rStyle w:val="Hyperlink"/>
                <w:noProof/>
              </w:rPr>
              <w:t>Horizontal Analysis</w:t>
            </w:r>
            <w:r w:rsidR="004C7EA2">
              <w:rPr>
                <w:noProof/>
                <w:webHidden/>
              </w:rPr>
              <w:tab/>
            </w:r>
            <w:r w:rsidR="004C7EA2">
              <w:rPr>
                <w:noProof/>
                <w:webHidden/>
              </w:rPr>
              <w:fldChar w:fldCharType="begin"/>
            </w:r>
            <w:r w:rsidR="004C7EA2">
              <w:rPr>
                <w:noProof/>
                <w:webHidden/>
              </w:rPr>
              <w:instrText xml:space="preserve"> PAGEREF _Toc99406411 \h </w:instrText>
            </w:r>
            <w:r w:rsidR="004C7EA2">
              <w:rPr>
                <w:noProof/>
                <w:webHidden/>
              </w:rPr>
            </w:r>
            <w:r w:rsidR="004C7EA2">
              <w:rPr>
                <w:noProof/>
                <w:webHidden/>
              </w:rPr>
              <w:fldChar w:fldCharType="separate"/>
            </w:r>
            <w:r w:rsidR="004C7EA2">
              <w:rPr>
                <w:noProof/>
                <w:webHidden/>
              </w:rPr>
              <w:t>4</w:t>
            </w:r>
            <w:r w:rsidR="004C7EA2">
              <w:rPr>
                <w:noProof/>
                <w:webHidden/>
              </w:rPr>
              <w:fldChar w:fldCharType="end"/>
            </w:r>
          </w:hyperlink>
        </w:p>
        <w:p w14:paraId="5EEE9C46" w14:textId="36FCD7BE" w:rsidR="004C7EA2" w:rsidRDefault="00E329C0">
          <w:pPr>
            <w:pStyle w:val="TOC3"/>
            <w:tabs>
              <w:tab w:val="right" w:leader="dot" w:pos="9016"/>
            </w:tabs>
            <w:rPr>
              <w:rFonts w:asciiTheme="minorHAnsi" w:eastAsiaTheme="minorEastAsia" w:hAnsiTheme="minorHAnsi"/>
              <w:noProof/>
              <w:color w:val="auto"/>
              <w:sz w:val="22"/>
              <w:lang w:eastAsia="en-GB"/>
            </w:rPr>
          </w:pPr>
          <w:hyperlink w:anchor="_Toc99406412" w:history="1">
            <w:r w:rsidR="004C7EA2" w:rsidRPr="00FE1F84">
              <w:rPr>
                <w:rStyle w:val="Hyperlink"/>
                <w:noProof/>
              </w:rPr>
              <w:t>Vertical Analysis</w:t>
            </w:r>
            <w:r w:rsidR="004C7EA2">
              <w:rPr>
                <w:noProof/>
                <w:webHidden/>
              </w:rPr>
              <w:tab/>
            </w:r>
            <w:r w:rsidR="004C7EA2">
              <w:rPr>
                <w:noProof/>
                <w:webHidden/>
              </w:rPr>
              <w:fldChar w:fldCharType="begin"/>
            </w:r>
            <w:r w:rsidR="004C7EA2">
              <w:rPr>
                <w:noProof/>
                <w:webHidden/>
              </w:rPr>
              <w:instrText xml:space="preserve"> PAGEREF _Toc99406412 \h </w:instrText>
            </w:r>
            <w:r w:rsidR="004C7EA2">
              <w:rPr>
                <w:noProof/>
                <w:webHidden/>
              </w:rPr>
            </w:r>
            <w:r w:rsidR="004C7EA2">
              <w:rPr>
                <w:noProof/>
                <w:webHidden/>
              </w:rPr>
              <w:fldChar w:fldCharType="separate"/>
            </w:r>
            <w:r w:rsidR="004C7EA2">
              <w:rPr>
                <w:noProof/>
                <w:webHidden/>
              </w:rPr>
              <w:t>5</w:t>
            </w:r>
            <w:r w:rsidR="004C7EA2">
              <w:rPr>
                <w:noProof/>
                <w:webHidden/>
              </w:rPr>
              <w:fldChar w:fldCharType="end"/>
            </w:r>
          </w:hyperlink>
        </w:p>
        <w:p w14:paraId="02EE0093" w14:textId="5B716AE5" w:rsidR="004C7EA2" w:rsidRDefault="00E329C0">
          <w:pPr>
            <w:pStyle w:val="TOC3"/>
            <w:tabs>
              <w:tab w:val="right" w:leader="dot" w:pos="9016"/>
            </w:tabs>
            <w:rPr>
              <w:rFonts w:asciiTheme="minorHAnsi" w:eastAsiaTheme="minorEastAsia" w:hAnsiTheme="minorHAnsi"/>
              <w:noProof/>
              <w:color w:val="auto"/>
              <w:sz w:val="22"/>
              <w:lang w:eastAsia="en-GB"/>
            </w:rPr>
          </w:pPr>
          <w:hyperlink w:anchor="_Toc99406413" w:history="1">
            <w:r w:rsidR="004C7EA2" w:rsidRPr="00FE1F84">
              <w:rPr>
                <w:rStyle w:val="Hyperlink"/>
                <w:noProof/>
              </w:rPr>
              <w:t>Ratio Analysis</w:t>
            </w:r>
            <w:r w:rsidR="004C7EA2">
              <w:rPr>
                <w:noProof/>
                <w:webHidden/>
              </w:rPr>
              <w:tab/>
            </w:r>
            <w:r w:rsidR="004C7EA2">
              <w:rPr>
                <w:noProof/>
                <w:webHidden/>
              </w:rPr>
              <w:fldChar w:fldCharType="begin"/>
            </w:r>
            <w:r w:rsidR="004C7EA2">
              <w:rPr>
                <w:noProof/>
                <w:webHidden/>
              </w:rPr>
              <w:instrText xml:space="preserve"> PAGEREF _Toc99406413 \h </w:instrText>
            </w:r>
            <w:r w:rsidR="004C7EA2">
              <w:rPr>
                <w:noProof/>
                <w:webHidden/>
              </w:rPr>
            </w:r>
            <w:r w:rsidR="004C7EA2">
              <w:rPr>
                <w:noProof/>
                <w:webHidden/>
              </w:rPr>
              <w:fldChar w:fldCharType="separate"/>
            </w:r>
            <w:r w:rsidR="004C7EA2">
              <w:rPr>
                <w:noProof/>
                <w:webHidden/>
              </w:rPr>
              <w:t>6</w:t>
            </w:r>
            <w:r w:rsidR="004C7EA2">
              <w:rPr>
                <w:noProof/>
                <w:webHidden/>
              </w:rPr>
              <w:fldChar w:fldCharType="end"/>
            </w:r>
          </w:hyperlink>
        </w:p>
        <w:p w14:paraId="6D1121A3" w14:textId="7CDFC6F5" w:rsidR="004C7EA2" w:rsidRDefault="004C7EA2">
          <w:r>
            <w:rPr>
              <w:b/>
              <w:bCs/>
              <w:noProof/>
            </w:rPr>
            <w:fldChar w:fldCharType="end"/>
          </w:r>
        </w:p>
      </w:sdtContent>
    </w:sdt>
    <w:p w14:paraId="191D17B7" w14:textId="2A96435F" w:rsidR="004C7EA2" w:rsidRDefault="004C7EA2">
      <w:pPr>
        <w:spacing w:after="160" w:line="259" w:lineRule="auto"/>
        <w:jc w:val="left"/>
      </w:pPr>
      <w:r>
        <w:br w:type="page"/>
      </w:r>
    </w:p>
    <w:p w14:paraId="3826DD4F" w14:textId="1A551268" w:rsidR="00F84F57" w:rsidRPr="007E56DE" w:rsidRDefault="008B72BD" w:rsidP="00F84F57">
      <w:r w:rsidRPr="007E56DE">
        <w:lastRenderedPageBreak/>
        <w:t>When analysing a company’s financial statements, we are concerned about three things:</w:t>
      </w:r>
    </w:p>
    <w:p w14:paraId="16CAA481" w14:textId="0B201DE5" w:rsidR="008B72BD" w:rsidRDefault="008B72BD" w:rsidP="008B72BD">
      <w:pPr>
        <w:pStyle w:val="ListParagraph"/>
        <w:numPr>
          <w:ilvl w:val="0"/>
          <w:numId w:val="1"/>
        </w:numPr>
      </w:pPr>
      <w:r w:rsidRPr="000E1021">
        <w:rPr>
          <w:b/>
          <w:bCs/>
          <w:color w:val="66D9EE" w:themeColor="accent3"/>
        </w:rPr>
        <w:t>Liquidity</w:t>
      </w:r>
      <w:r w:rsidRPr="007E56DE">
        <w:t xml:space="preserve"> – This is the amount of cash or assets that can be quickly turned into cash, such as the bank balance.</w:t>
      </w:r>
    </w:p>
    <w:p w14:paraId="6A27A1F8" w14:textId="77777777" w:rsidR="000E1021" w:rsidRPr="007E56DE" w:rsidRDefault="000E1021" w:rsidP="000E1021">
      <w:pPr>
        <w:pStyle w:val="ListParagraph"/>
      </w:pPr>
    </w:p>
    <w:p w14:paraId="1C3CD9A0" w14:textId="0D7DA7C0" w:rsidR="008B72BD" w:rsidRDefault="008B72BD" w:rsidP="008B72BD">
      <w:pPr>
        <w:pStyle w:val="ListParagraph"/>
        <w:numPr>
          <w:ilvl w:val="0"/>
          <w:numId w:val="1"/>
        </w:numPr>
      </w:pPr>
      <w:r w:rsidRPr="000E1021">
        <w:rPr>
          <w:b/>
          <w:bCs/>
          <w:color w:val="66D9EE" w:themeColor="accent3"/>
        </w:rPr>
        <w:t>Profitability</w:t>
      </w:r>
      <w:r w:rsidRPr="007E56DE">
        <w:t xml:space="preserve"> – This is essentially the state of making a profit for a company.</w:t>
      </w:r>
    </w:p>
    <w:p w14:paraId="155A7EE5" w14:textId="77777777" w:rsidR="000E1021" w:rsidRDefault="000E1021" w:rsidP="000E1021">
      <w:pPr>
        <w:pStyle w:val="ListParagraph"/>
      </w:pPr>
    </w:p>
    <w:p w14:paraId="61457DC6" w14:textId="633C9555" w:rsidR="008B72BD" w:rsidRPr="007E56DE" w:rsidRDefault="008B72BD" w:rsidP="008B72BD">
      <w:pPr>
        <w:pStyle w:val="ListParagraph"/>
        <w:numPr>
          <w:ilvl w:val="0"/>
          <w:numId w:val="1"/>
        </w:numPr>
      </w:pPr>
      <w:r w:rsidRPr="000E1021">
        <w:rPr>
          <w:b/>
          <w:bCs/>
          <w:color w:val="66D9EE" w:themeColor="accent3"/>
        </w:rPr>
        <w:t>Solvency</w:t>
      </w:r>
      <w:r w:rsidRPr="007E56DE">
        <w:t xml:space="preserve"> – This is the ability of a company to meet its long-term debts and financial obligations.</w:t>
      </w:r>
    </w:p>
    <w:p w14:paraId="712E143C" w14:textId="77777777" w:rsidR="008B72BD" w:rsidRPr="007E56DE" w:rsidRDefault="008B72BD" w:rsidP="008B72BD">
      <w:r w:rsidRPr="007E56DE">
        <w:t xml:space="preserve">Mostly, banks are interested in how liquid a company is since that can help determine </w:t>
      </w:r>
      <w:proofErr w:type="gramStart"/>
      <w:r w:rsidRPr="007E56DE">
        <w:t>whether or not</w:t>
      </w:r>
      <w:proofErr w:type="gramEnd"/>
      <w:r w:rsidRPr="007E56DE">
        <w:t xml:space="preserve"> the company will be able to pay back loans.</w:t>
      </w:r>
    </w:p>
    <w:p w14:paraId="35832CF2" w14:textId="623BF94F" w:rsidR="003B176B" w:rsidRPr="007E56DE" w:rsidRDefault="008B72BD" w:rsidP="00D37230">
      <w:r w:rsidRPr="007E56DE">
        <w:t xml:space="preserve">Stockholders are interested in the profitability and solvency </w:t>
      </w:r>
      <w:r w:rsidR="004230C5" w:rsidRPr="007E56DE">
        <w:t>to determine if they should invest in the company. Long-term creditors may also look at these two characteristics to determine whether the company will survive for a long time.</w:t>
      </w:r>
    </w:p>
    <w:p w14:paraId="31D849A8" w14:textId="5ED27E28" w:rsidR="000E1021" w:rsidRDefault="000E1021">
      <w:pPr>
        <w:spacing w:after="160" w:line="259" w:lineRule="auto"/>
        <w:jc w:val="left"/>
      </w:pPr>
      <w:r>
        <w:br w:type="page"/>
      </w:r>
    </w:p>
    <w:p w14:paraId="60CA4786" w14:textId="605E3469" w:rsidR="004230C5" w:rsidRPr="007E56DE" w:rsidRDefault="004230C5" w:rsidP="004230C5">
      <w:pPr>
        <w:pStyle w:val="Heading2"/>
      </w:pPr>
      <w:bookmarkStart w:id="0" w:name="_Toc99406409"/>
      <w:r w:rsidRPr="007E56DE">
        <w:lastRenderedPageBreak/>
        <w:t>Comparative Analysis</w:t>
      </w:r>
      <w:bookmarkEnd w:id="0"/>
    </w:p>
    <w:p w14:paraId="190D95EF" w14:textId="7D2E65B3" w:rsidR="004230C5" w:rsidRPr="007E56DE" w:rsidRDefault="004230C5" w:rsidP="004230C5">
      <w:r w:rsidRPr="007E56DE">
        <w:t>It is not enough to analyse a single financial statement. To be able to understand how a company is doing, we need to compare its current financial statements with other financial statements. We can do this in three ways:</w:t>
      </w:r>
    </w:p>
    <w:p w14:paraId="5A10D8F1" w14:textId="1BDAF6D4" w:rsidR="004230C5" w:rsidRDefault="004230C5" w:rsidP="004230C5">
      <w:pPr>
        <w:pStyle w:val="ListParagraph"/>
        <w:numPr>
          <w:ilvl w:val="0"/>
          <w:numId w:val="2"/>
        </w:numPr>
      </w:pPr>
      <w:r w:rsidRPr="000E1021">
        <w:rPr>
          <w:b/>
          <w:bCs/>
          <w:color w:val="66D9EE" w:themeColor="accent3"/>
        </w:rPr>
        <w:t>Intracompany Basis</w:t>
      </w:r>
      <w:r w:rsidRPr="007E56DE">
        <w:t xml:space="preserve"> – We compare the financial statements of the current year with those of previous years.</w:t>
      </w:r>
    </w:p>
    <w:p w14:paraId="3A3BEDA5" w14:textId="77777777" w:rsidR="000E1021" w:rsidRPr="007E56DE" w:rsidRDefault="000E1021" w:rsidP="000E1021">
      <w:pPr>
        <w:pStyle w:val="ListParagraph"/>
      </w:pPr>
    </w:p>
    <w:p w14:paraId="5490AB5D" w14:textId="2818A97C" w:rsidR="004230C5" w:rsidRDefault="004230C5" w:rsidP="004230C5">
      <w:pPr>
        <w:pStyle w:val="ListParagraph"/>
        <w:numPr>
          <w:ilvl w:val="0"/>
          <w:numId w:val="2"/>
        </w:numPr>
      </w:pPr>
      <w:r w:rsidRPr="000E1021">
        <w:rPr>
          <w:b/>
          <w:bCs/>
          <w:color w:val="66D9EE" w:themeColor="accent3"/>
        </w:rPr>
        <w:t>Industry Averages</w:t>
      </w:r>
      <w:r w:rsidRPr="007E56DE">
        <w:t xml:space="preserve"> – We compare the financial statements with the industry averages published by financial ratings organizations.</w:t>
      </w:r>
    </w:p>
    <w:p w14:paraId="65E1AAB7" w14:textId="77777777" w:rsidR="000E1021" w:rsidRDefault="000E1021" w:rsidP="000E1021">
      <w:pPr>
        <w:pStyle w:val="ListParagraph"/>
      </w:pPr>
    </w:p>
    <w:p w14:paraId="7327B4E0" w14:textId="10E8AF1B" w:rsidR="004230C5" w:rsidRDefault="004230C5" w:rsidP="004230C5">
      <w:pPr>
        <w:pStyle w:val="ListParagraph"/>
        <w:numPr>
          <w:ilvl w:val="0"/>
          <w:numId w:val="2"/>
        </w:numPr>
      </w:pPr>
      <w:r w:rsidRPr="000E1021">
        <w:rPr>
          <w:b/>
          <w:bCs/>
          <w:color w:val="66D9EE" w:themeColor="accent3"/>
        </w:rPr>
        <w:t>Intercompany Basis</w:t>
      </w:r>
      <w:r w:rsidRPr="007E56DE">
        <w:t xml:space="preserve"> – We compare the financial statements of the company with those of one or more competing companies.</w:t>
      </w:r>
    </w:p>
    <w:p w14:paraId="49924D6A" w14:textId="77777777" w:rsidR="000E1021" w:rsidRPr="007E56DE" w:rsidRDefault="000E1021" w:rsidP="000E1021"/>
    <w:p w14:paraId="75FE388B" w14:textId="69AD28EE" w:rsidR="00B128DE" w:rsidRPr="007E56DE" w:rsidRDefault="00B128DE" w:rsidP="00B128DE">
      <w:pPr>
        <w:pStyle w:val="Heading2"/>
      </w:pPr>
      <w:bookmarkStart w:id="1" w:name="_Toc99406410"/>
      <w:r w:rsidRPr="007E56DE">
        <w:t>Tools of Analysis</w:t>
      </w:r>
      <w:bookmarkEnd w:id="1"/>
    </w:p>
    <w:p w14:paraId="33081C30" w14:textId="4EBED2D8" w:rsidR="00B128DE" w:rsidRPr="007E56DE" w:rsidRDefault="00B128DE" w:rsidP="00B128DE">
      <w:r w:rsidRPr="007E56DE">
        <w:t>To perform comparative analysis, we have three tools available to us:</w:t>
      </w:r>
    </w:p>
    <w:p w14:paraId="09AB756C" w14:textId="4DE4BAFF" w:rsidR="00B128DE" w:rsidRPr="007E56DE" w:rsidRDefault="00B128DE" w:rsidP="00B128DE">
      <w:pPr>
        <w:pStyle w:val="ListParagraph"/>
        <w:numPr>
          <w:ilvl w:val="0"/>
          <w:numId w:val="3"/>
        </w:numPr>
      </w:pPr>
      <w:r w:rsidRPr="007E56DE">
        <w:t>Horizontal Analysis</w:t>
      </w:r>
    </w:p>
    <w:p w14:paraId="5AE6AD7D" w14:textId="54FA0C79" w:rsidR="00B128DE" w:rsidRPr="007E56DE" w:rsidRDefault="00B128DE" w:rsidP="00B128DE">
      <w:pPr>
        <w:pStyle w:val="ListParagraph"/>
        <w:numPr>
          <w:ilvl w:val="0"/>
          <w:numId w:val="3"/>
        </w:numPr>
      </w:pPr>
      <w:r w:rsidRPr="007E56DE">
        <w:t>Vertical Analysis</w:t>
      </w:r>
    </w:p>
    <w:p w14:paraId="17BD503B" w14:textId="765F1537" w:rsidR="00B128DE" w:rsidRPr="007E56DE" w:rsidRDefault="00B128DE" w:rsidP="00B128DE">
      <w:pPr>
        <w:pStyle w:val="ListParagraph"/>
        <w:numPr>
          <w:ilvl w:val="0"/>
          <w:numId w:val="3"/>
        </w:numPr>
      </w:pPr>
      <w:r w:rsidRPr="007E56DE">
        <w:t>Ratio Analysis</w:t>
      </w:r>
    </w:p>
    <w:p w14:paraId="3445F58C" w14:textId="04A54081" w:rsidR="00B128DE" w:rsidRPr="007E56DE" w:rsidRDefault="00B128DE" w:rsidP="00B128DE"/>
    <w:p w14:paraId="52A83D79" w14:textId="3006CB2B" w:rsidR="00B128DE" w:rsidRPr="007E56DE" w:rsidRDefault="00B128DE" w:rsidP="00B128DE">
      <w:pPr>
        <w:pStyle w:val="Heading3"/>
      </w:pPr>
      <w:bookmarkStart w:id="2" w:name="_Toc99406411"/>
      <w:r w:rsidRPr="007E56DE">
        <w:lastRenderedPageBreak/>
        <w:t>Horizontal Analysis</w:t>
      </w:r>
      <w:bookmarkEnd w:id="2"/>
    </w:p>
    <w:p w14:paraId="0FACF389" w14:textId="051CD1E3" w:rsidR="00B128DE" w:rsidRPr="007E56DE" w:rsidRDefault="00B128DE" w:rsidP="00B128DE">
      <w:r w:rsidRPr="007E56DE">
        <w:t xml:space="preserve">We can apply </w:t>
      </w:r>
      <w:r w:rsidRPr="000E1021">
        <w:rPr>
          <w:b/>
          <w:bCs/>
          <w:color w:val="66D9EE" w:themeColor="accent3"/>
        </w:rPr>
        <w:t>horizontal analysis</w:t>
      </w:r>
      <w:r w:rsidRPr="007E56DE">
        <w:t xml:space="preserve"> on a particular financial statement to determine the changes over several years. For example, consider the horizontal analysis performed on a balance sheet given below:</w:t>
      </w:r>
    </w:p>
    <w:p w14:paraId="3DACB5CD" w14:textId="3164DE22" w:rsidR="00B128DE" w:rsidRPr="007E56DE" w:rsidRDefault="00B128DE" w:rsidP="00B128DE">
      <w:pPr>
        <w:jc w:val="center"/>
      </w:pPr>
      <w:r w:rsidRPr="007E56DE">
        <w:rPr>
          <w:noProof/>
        </w:rPr>
        <w:drawing>
          <wp:inline distT="0" distB="0" distL="0" distR="0" wp14:anchorId="48EFFD86" wp14:editId="1AAC3281">
            <wp:extent cx="4120612" cy="324958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120612" cy="3249588"/>
                    </a:xfrm>
                    <a:prstGeom prst="rect">
                      <a:avLst/>
                    </a:prstGeom>
                  </pic:spPr>
                </pic:pic>
              </a:graphicData>
            </a:graphic>
          </wp:inline>
        </w:drawing>
      </w:r>
    </w:p>
    <w:p w14:paraId="05AA7C79" w14:textId="267C36F8" w:rsidR="00B128DE" w:rsidRPr="007E56DE" w:rsidRDefault="00B128DE" w:rsidP="00B128DE">
      <w:r w:rsidRPr="007E56DE">
        <w:t>Similarly, we can perform horizontal analysis on income statements.</w:t>
      </w:r>
    </w:p>
    <w:p w14:paraId="06558F5B" w14:textId="18B53644" w:rsidR="00B128DE" w:rsidRPr="007E56DE" w:rsidRDefault="00B128DE" w:rsidP="00B128DE">
      <w:pPr>
        <w:jc w:val="center"/>
      </w:pPr>
      <w:r w:rsidRPr="007E56DE">
        <w:rPr>
          <w:noProof/>
        </w:rPr>
        <w:lastRenderedPageBreak/>
        <w:drawing>
          <wp:inline distT="0" distB="0" distL="0" distR="0" wp14:anchorId="50E40814" wp14:editId="486BA7AF">
            <wp:extent cx="4089217" cy="320266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089217" cy="3202665"/>
                    </a:xfrm>
                    <a:prstGeom prst="rect">
                      <a:avLst/>
                    </a:prstGeom>
                  </pic:spPr>
                </pic:pic>
              </a:graphicData>
            </a:graphic>
          </wp:inline>
        </w:drawing>
      </w:r>
    </w:p>
    <w:p w14:paraId="7AEF8BC4" w14:textId="34F69B44" w:rsidR="00B128DE" w:rsidRPr="007E56DE" w:rsidRDefault="00B128DE" w:rsidP="00B128DE"/>
    <w:p w14:paraId="73AF5618" w14:textId="7476EA79" w:rsidR="00B128DE" w:rsidRPr="007E56DE" w:rsidRDefault="00B128DE" w:rsidP="00B128DE">
      <w:pPr>
        <w:pStyle w:val="Heading3"/>
      </w:pPr>
      <w:bookmarkStart w:id="3" w:name="_Toc99406412"/>
      <w:r w:rsidRPr="007E56DE">
        <w:t>Vertical Analysis</w:t>
      </w:r>
      <w:bookmarkEnd w:id="3"/>
    </w:p>
    <w:p w14:paraId="162CB7D0" w14:textId="44EA2414" w:rsidR="00B128DE" w:rsidRPr="007E56DE" w:rsidRDefault="00B128DE" w:rsidP="00B128DE">
      <w:r w:rsidRPr="000E1021">
        <w:rPr>
          <w:b/>
          <w:bCs/>
          <w:color w:val="66D9EE" w:themeColor="accent3"/>
        </w:rPr>
        <w:t>Vertical Analysis</w:t>
      </w:r>
      <w:r w:rsidRPr="007E56DE">
        <w:t xml:space="preserve"> allows us to visualize the contribution of an item to the total for its category. For example, we can perform vertical analysis on a balance sheet:</w:t>
      </w:r>
    </w:p>
    <w:p w14:paraId="6576F39F" w14:textId="25D7C021" w:rsidR="00B128DE" w:rsidRPr="007E56DE" w:rsidRDefault="00B128DE" w:rsidP="00B128DE">
      <w:pPr>
        <w:jc w:val="center"/>
      </w:pPr>
      <w:r w:rsidRPr="007E56DE">
        <w:rPr>
          <w:noProof/>
        </w:rPr>
        <w:drawing>
          <wp:inline distT="0" distB="0" distL="0" distR="0" wp14:anchorId="0D13A039" wp14:editId="4C75DFE3">
            <wp:extent cx="4150277" cy="3155582"/>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50277" cy="3155582"/>
                    </a:xfrm>
                    <a:prstGeom prst="rect">
                      <a:avLst/>
                    </a:prstGeom>
                  </pic:spPr>
                </pic:pic>
              </a:graphicData>
            </a:graphic>
          </wp:inline>
        </w:drawing>
      </w:r>
    </w:p>
    <w:p w14:paraId="60F26E87" w14:textId="4CBD4216" w:rsidR="00B128DE" w:rsidRPr="007E56DE" w:rsidRDefault="0090600A" w:rsidP="00B128DE">
      <w:r w:rsidRPr="007E56DE">
        <w:lastRenderedPageBreak/>
        <w:t>We can also perform vertical analysis on an income statement</w:t>
      </w:r>
      <w:r w:rsidR="00CF20E0" w:rsidRPr="007E56DE">
        <w:t xml:space="preserve">. Notice that we take </w:t>
      </w:r>
      <w:r w:rsidR="00CF20E0" w:rsidRPr="000E1021">
        <w:rPr>
          <w:b/>
          <w:bCs/>
          <w:color w:val="66D9EE" w:themeColor="accent3"/>
        </w:rPr>
        <w:t>net sales</w:t>
      </w:r>
      <w:r w:rsidR="00CF20E0" w:rsidRPr="007E56DE">
        <w:t xml:space="preserve"> as the base amount here.</w:t>
      </w:r>
    </w:p>
    <w:p w14:paraId="44E3B35A" w14:textId="1B04B1FC" w:rsidR="0090600A" w:rsidRPr="007E56DE" w:rsidRDefault="0090600A" w:rsidP="0090600A">
      <w:pPr>
        <w:jc w:val="center"/>
      </w:pPr>
      <w:r w:rsidRPr="007E56DE">
        <w:rPr>
          <w:noProof/>
        </w:rPr>
        <w:drawing>
          <wp:inline distT="0" distB="0" distL="0" distR="0" wp14:anchorId="4F5746F8" wp14:editId="5E826894">
            <wp:extent cx="4196315" cy="324838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196315" cy="3248387"/>
                    </a:xfrm>
                    <a:prstGeom prst="rect">
                      <a:avLst/>
                    </a:prstGeom>
                  </pic:spPr>
                </pic:pic>
              </a:graphicData>
            </a:graphic>
          </wp:inline>
        </w:drawing>
      </w:r>
    </w:p>
    <w:p w14:paraId="1E2CDE8D" w14:textId="03E89260" w:rsidR="0090600A" w:rsidRPr="007E56DE" w:rsidRDefault="0090600A" w:rsidP="0090600A"/>
    <w:p w14:paraId="0C441B2F" w14:textId="05291162" w:rsidR="0090600A" w:rsidRPr="007E56DE" w:rsidRDefault="0090600A" w:rsidP="0090600A">
      <w:pPr>
        <w:pStyle w:val="Heading3"/>
      </w:pPr>
      <w:bookmarkStart w:id="4" w:name="_Toc99406413"/>
      <w:r w:rsidRPr="007E56DE">
        <w:t>Ratio Analysis</w:t>
      </w:r>
      <w:bookmarkEnd w:id="4"/>
    </w:p>
    <w:p w14:paraId="6EB6EC0F" w14:textId="7A8AF308" w:rsidR="0090600A" w:rsidRPr="007E56DE" w:rsidRDefault="0090600A" w:rsidP="0090600A">
      <w:r w:rsidRPr="000E1021">
        <w:rPr>
          <w:b/>
          <w:bCs/>
          <w:color w:val="66D9EE" w:themeColor="accent3"/>
        </w:rPr>
        <w:t>Ratio Analysis</w:t>
      </w:r>
      <w:r w:rsidRPr="007E56DE">
        <w:t xml:space="preserve"> involves calculating several ratios using equations. There are several types of ratios:</w:t>
      </w:r>
    </w:p>
    <w:p w14:paraId="3F9A7636" w14:textId="0B55DFF3" w:rsidR="0090600A" w:rsidRPr="007E56DE" w:rsidRDefault="0090600A" w:rsidP="0090600A">
      <w:pPr>
        <w:pStyle w:val="ListParagraph"/>
        <w:numPr>
          <w:ilvl w:val="0"/>
          <w:numId w:val="5"/>
        </w:numPr>
      </w:pPr>
      <w:r w:rsidRPr="007E56DE">
        <w:t>Liquidity Ratios</w:t>
      </w:r>
    </w:p>
    <w:p w14:paraId="787D2971" w14:textId="4DE248B3" w:rsidR="0090600A" w:rsidRPr="007E56DE" w:rsidRDefault="0090600A" w:rsidP="0090600A">
      <w:pPr>
        <w:pStyle w:val="ListParagraph"/>
        <w:numPr>
          <w:ilvl w:val="0"/>
          <w:numId w:val="5"/>
        </w:numPr>
      </w:pPr>
      <w:r w:rsidRPr="007E56DE">
        <w:t>Profitability Ratios</w:t>
      </w:r>
    </w:p>
    <w:p w14:paraId="7D0BD0D1" w14:textId="59E87458" w:rsidR="0090600A" w:rsidRPr="007E56DE" w:rsidRDefault="0090600A" w:rsidP="0090600A">
      <w:pPr>
        <w:pStyle w:val="ListParagraph"/>
        <w:numPr>
          <w:ilvl w:val="0"/>
          <w:numId w:val="5"/>
        </w:numPr>
      </w:pPr>
      <w:r w:rsidRPr="007E56DE">
        <w:t>Solvency Ratios</w:t>
      </w:r>
    </w:p>
    <w:p w14:paraId="138C7E06" w14:textId="7B4628F5" w:rsidR="0090600A" w:rsidRPr="007E56DE" w:rsidRDefault="0090600A" w:rsidP="0090600A">
      <w:r w:rsidRPr="007E56DE">
        <w:t>Note that the values used in the list of ratios below are purely for illustrative purposes.</w:t>
      </w:r>
    </w:p>
    <w:p w14:paraId="4D9E48CC" w14:textId="77777777" w:rsidR="00CF20E0" w:rsidRPr="007E56DE" w:rsidRDefault="00CF20E0" w:rsidP="0090600A"/>
    <w:p w14:paraId="26A0EDFC" w14:textId="1520D85E" w:rsidR="0090600A" w:rsidRPr="007E56DE" w:rsidRDefault="0090600A" w:rsidP="0090600A">
      <w:r w:rsidRPr="000E1021">
        <w:rPr>
          <w:b/>
          <w:bCs/>
          <w:color w:val="66D9EE" w:themeColor="accent3"/>
        </w:rPr>
        <w:lastRenderedPageBreak/>
        <w:t>Liquidity Ratios</w:t>
      </w:r>
      <w:r w:rsidR="00CF20E0" w:rsidRPr="007E56DE">
        <w:t xml:space="preserve"> measure the short-term ability of a company to pay its maturing obligations while also meeting unexpected needs to cash.</w:t>
      </w:r>
    </w:p>
    <w:p w14:paraId="0F0BB6F0" w14:textId="1E930858" w:rsidR="0090600A" w:rsidRPr="007E56DE" w:rsidRDefault="007E56DE" w:rsidP="0090600A">
      <w:pPr>
        <w:pStyle w:val="ListParagraph"/>
        <w:numPr>
          <w:ilvl w:val="0"/>
          <w:numId w:val="6"/>
        </w:numPr>
      </w:pPr>
      <m:oMath>
        <m:r>
          <m:rPr>
            <m:sty m:val="p"/>
          </m:rPr>
          <w:rPr>
            <w:rFonts w:ascii="Cambria Math" w:hAnsi="Cambria Math"/>
          </w:rPr>
          <m:t>Current Ratio=</m:t>
        </m:r>
        <m:f>
          <m:fPr>
            <m:ctrlPr>
              <w:rPr>
                <w:rFonts w:ascii="Cambria Math" w:hAnsi="Cambria Math"/>
              </w:rPr>
            </m:ctrlPr>
          </m:fPr>
          <m:num>
            <m:r>
              <m:rPr>
                <m:sty m:val="p"/>
              </m:rPr>
              <w:rPr>
                <w:rFonts w:ascii="Cambria Math" w:hAnsi="Cambria Math"/>
              </w:rPr>
              <m:t>Current Assets</m:t>
            </m:r>
          </m:num>
          <m:den>
            <m:r>
              <m:rPr>
                <m:sty m:val="p"/>
              </m:rPr>
              <w:rPr>
                <w:rFonts w:ascii="Cambria Math" w:hAnsi="Cambria Math"/>
              </w:rPr>
              <m:t>Current Liabilities</m:t>
            </m:r>
          </m:den>
        </m:f>
        <m:r>
          <m:rPr>
            <m:sty m:val="p"/>
          </m:rPr>
          <w:rPr>
            <w:rFonts w:ascii="Cambria Math" w:hAnsi="Cambria Math"/>
          </w:rPr>
          <m:t>=</m:t>
        </m:r>
        <m:f>
          <m:fPr>
            <m:ctrlPr>
              <w:rPr>
                <w:rFonts w:ascii="Cambria Math" w:hAnsi="Cambria Math"/>
              </w:rPr>
            </m:ctrlPr>
          </m:fPr>
          <m:num>
            <m:r>
              <m:rPr>
                <m:sty m:val="p"/>
              </m:rPr>
              <w:rPr>
                <w:rFonts w:ascii="Cambria Math" w:hAnsi="Cambria Math"/>
              </w:rPr>
              <m:t>$1,020,000</m:t>
            </m:r>
          </m:num>
          <m:den>
            <m:r>
              <m:rPr>
                <m:sty m:val="p"/>
              </m:rPr>
              <w:rPr>
                <w:rFonts w:ascii="Cambria Math" w:hAnsi="Cambria Math"/>
              </w:rPr>
              <m:t>$344,500</m:t>
            </m:r>
          </m:den>
        </m:f>
        <m:r>
          <m:rPr>
            <m:sty m:val="p"/>
          </m:rPr>
          <w:rPr>
            <w:rFonts w:ascii="Cambria Math" w:hAnsi="Cambria Math"/>
          </w:rPr>
          <m:t>=2.96:1</m:t>
        </m:r>
      </m:oMath>
    </w:p>
    <w:p w14:paraId="1AACBD6A" w14:textId="77777777" w:rsidR="002679F1" w:rsidRPr="007E56DE" w:rsidRDefault="002679F1" w:rsidP="002679F1">
      <w:pPr>
        <w:pStyle w:val="ListParagraph"/>
      </w:pPr>
    </w:p>
    <w:p w14:paraId="3598A49F" w14:textId="6A04570B" w:rsidR="0090600A" w:rsidRPr="007E56DE" w:rsidRDefault="007E56DE" w:rsidP="0090600A">
      <w:pPr>
        <w:pStyle w:val="ListParagraph"/>
        <w:numPr>
          <w:ilvl w:val="0"/>
          <w:numId w:val="6"/>
        </w:numPr>
      </w:pPr>
      <m:oMath>
        <m:r>
          <m:rPr>
            <m:sty m:val="p"/>
          </m:rPr>
          <w:rPr>
            <w:rFonts w:ascii="Cambria Math" w:hAnsi="Cambria Math"/>
          </w:rPr>
          <m:t>Acid-Test Ratio=</m:t>
        </m:r>
        <m:f>
          <m:fPr>
            <m:ctrlPr>
              <w:rPr>
                <w:rFonts w:ascii="Cambria Math" w:hAnsi="Cambria Math"/>
              </w:rPr>
            </m:ctrlPr>
          </m:fPr>
          <m:num>
            <m:r>
              <m:rPr>
                <m:sty m:val="p"/>
              </m:rPr>
              <w:rPr>
                <w:rFonts w:ascii="Cambria Math" w:hAnsi="Cambria Math"/>
              </w:rPr>
              <m:t xml:space="preserve">Cash+Short Term Investments+Receivables </m:t>
            </m:r>
            <m:d>
              <m:dPr>
                <m:ctrlPr>
                  <w:rPr>
                    <w:rFonts w:ascii="Cambria Math" w:hAnsi="Cambria Math"/>
                  </w:rPr>
                </m:ctrlPr>
              </m:dPr>
              <m:e>
                <m:r>
                  <m:rPr>
                    <m:sty m:val="p"/>
                  </m:rPr>
                  <w:rPr>
                    <w:rFonts w:ascii="Cambria Math" w:hAnsi="Cambria Math"/>
                  </w:rPr>
                  <m:t>Net</m:t>
                </m:r>
              </m:e>
            </m:d>
          </m:num>
          <m:den>
            <m:r>
              <m:rPr>
                <m:sty m:val="p"/>
              </m:rPr>
              <w:rPr>
                <w:rFonts w:ascii="Cambria Math" w:hAnsi="Cambria Math"/>
              </w:rPr>
              <m:t>Current Liabilities</m:t>
            </m:r>
          </m:den>
        </m:f>
        <m:r>
          <m:rPr>
            <m:sty m:val="p"/>
          </m:rPr>
          <w:rPr>
            <w:rFonts w:ascii="Cambria Math" w:hAnsi="Cambria Math"/>
          </w:rPr>
          <m:t>=</m:t>
        </m:r>
        <m:f>
          <m:fPr>
            <m:ctrlPr>
              <w:rPr>
                <w:rFonts w:ascii="Cambria Math" w:hAnsi="Cambria Math"/>
              </w:rPr>
            </m:ctrlPr>
          </m:fPr>
          <m:num>
            <m:r>
              <m:rPr>
                <m:sty m:val="p"/>
              </m:rPr>
              <w:rPr>
                <w:rFonts w:ascii="Cambria Math" w:hAnsi="Cambria Math"/>
              </w:rPr>
              <m:t>$100,000+$20,000+$230,000</m:t>
            </m:r>
          </m:num>
          <m:den>
            <m:r>
              <m:rPr>
                <m:sty m:val="p"/>
              </m:rPr>
              <w:rPr>
                <w:rFonts w:ascii="Cambria Math" w:hAnsi="Cambria Math"/>
              </w:rPr>
              <m:t>$344,500</m:t>
            </m:r>
          </m:den>
        </m:f>
        <m:r>
          <m:rPr>
            <m:sty m:val="p"/>
          </m:rPr>
          <w:rPr>
            <w:rFonts w:ascii="Cambria Math" w:hAnsi="Cambria Math"/>
          </w:rPr>
          <m:t>=1.02:1</m:t>
        </m:r>
      </m:oMath>
    </w:p>
    <w:p w14:paraId="652D0826" w14:textId="77777777" w:rsidR="002679F1" w:rsidRPr="007E56DE" w:rsidRDefault="002679F1" w:rsidP="002679F1">
      <w:pPr>
        <w:pStyle w:val="ListParagraph"/>
      </w:pPr>
    </w:p>
    <w:p w14:paraId="5ED7994C" w14:textId="7872CD67" w:rsidR="00AD7401" w:rsidRPr="007E56DE" w:rsidRDefault="007E56DE" w:rsidP="0090600A">
      <w:pPr>
        <w:pStyle w:val="ListParagraph"/>
        <w:numPr>
          <w:ilvl w:val="0"/>
          <w:numId w:val="6"/>
        </w:numPr>
      </w:pPr>
      <m:oMath>
        <m:r>
          <m:rPr>
            <m:sty m:val="p"/>
          </m:rPr>
          <w:rPr>
            <w:rFonts w:ascii="Cambria Math" w:hAnsi="Cambria Math"/>
          </w:rPr>
          <m:t>Receivables Turnover=</m:t>
        </m:r>
        <m:f>
          <m:fPr>
            <m:ctrlPr>
              <w:rPr>
                <w:rFonts w:ascii="Cambria Math" w:hAnsi="Cambria Math"/>
              </w:rPr>
            </m:ctrlPr>
          </m:fPr>
          <m:num>
            <m:r>
              <m:rPr>
                <m:sty m:val="p"/>
              </m:rPr>
              <w:rPr>
                <w:rFonts w:ascii="Cambria Math" w:hAnsi="Cambria Math"/>
              </w:rPr>
              <m:t>Net Credit Sales</m:t>
            </m:r>
          </m:num>
          <m:den>
            <m:r>
              <m:rPr>
                <m:sty m:val="p"/>
              </m:rPr>
              <w:rPr>
                <w:rFonts w:ascii="Cambria Math" w:hAnsi="Cambria Math"/>
              </w:rPr>
              <m:t>Average Net Receivables</m:t>
            </m:r>
          </m:den>
        </m:f>
        <m:r>
          <m:rPr>
            <m:sty m:val="p"/>
          </m:rPr>
          <w:rPr>
            <w:rFonts w:ascii="Cambria Math" w:hAnsi="Cambria Math"/>
          </w:rPr>
          <m:t>=</m:t>
        </m:r>
        <m:f>
          <m:fPr>
            <m:ctrlPr>
              <w:rPr>
                <w:rFonts w:ascii="Cambria Math" w:hAnsi="Cambria Math"/>
              </w:rPr>
            </m:ctrlPr>
          </m:fPr>
          <m:num>
            <m:r>
              <m:rPr>
                <m:sty m:val="p"/>
              </m:rPr>
              <w:rPr>
                <w:rFonts w:ascii="Cambria Math" w:hAnsi="Cambria Math"/>
              </w:rPr>
              <m:t>$2,097,000</m:t>
            </m:r>
          </m:num>
          <m:den>
            <m:f>
              <m:fPr>
                <m:ctrlPr>
                  <w:rPr>
                    <w:rFonts w:ascii="Cambria Math" w:hAnsi="Cambria Math"/>
                  </w:rPr>
                </m:ctrlPr>
              </m:fPr>
              <m:num>
                <m:r>
                  <m:rPr>
                    <m:sty m:val="p"/>
                  </m:rPr>
                  <w:rPr>
                    <w:rFonts w:ascii="Cambria Math" w:hAnsi="Cambria Math"/>
                  </w:rPr>
                  <m:t>$180,000+$230,000</m:t>
                </m:r>
              </m:num>
              <m:den>
                <m:r>
                  <m:rPr>
                    <m:sty m:val="p"/>
                  </m:rPr>
                  <w:rPr>
                    <w:rFonts w:ascii="Cambria Math" w:hAnsi="Cambria Math"/>
                  </w:rPr>
                  <m:t>2</m:t>
                </m:r>
              </m:den>
            </m:f>
          </m:den>
        </m:f>
        <m:r>
          <m:rPr>
            <m:sty m:val="p"/>
          </m:rPr>
          <w:rPr>
            <w:rFonts w:ascii="Cambria Math" w:hAnsi="Cambria Math"/>
          </w:rPr>
          <m:t>=10.2 times</m:t>
        </m:r>
      </m:oMath>
    </w:p>
    <w:p w14:paraId="3E843C5F" w14:textId="760D9EB9" w:rsidR="002679F1" w:rsidRPr="007E56DE" w:rsidRDefault="002679F1" w:rsidP="002679F1">
      <w:pPr>
        <w:pStyle w:val="ListParagraph"/>
        <w:rPr>
          <w:rFonts w:eastAsiaTheme="minorEastAsia"/>
        </w:rPr>
      </w:pPr>
      <w:r w:rsidRPr="007E56DE">
        <w:rPr>
          <w:rFonts w:eastAsiaTheme="minorEastAsia"/>
        </w:rPr>
        <w:t xml:space="preserve">Here, for the average, we are using the previous </w:t>
      </w:r>
      <w:proofErr w:type="gramStart"/>
      <w:r w:rsidRPr="007E56DE">
        <w:rPr>
          <w:rFonts w:eastAsiaTheme="minorEastAsia"/>
        </w:rPr>
        <w:t>year’s</w:t>
      </w:r>
      <w:proofErr w:type="gramEnd"/>
      <w:r w:rsidRPr="007E56DE">
        <w:rPr>
          <w:rFonts w:eastAsiaTheme="minorEastAsia"/>
        </w:rPr>
        <w:t xml:space="preserve"> and the current year’s net receivables amount.</w:t>
      </w:r>
    </w:p>
    <w:p w14:paraId="038F16F2" w14:textId="77777777" w:rsidR="002679F1" w:rsidRPr="007E56DE" w:rsidRDefault="002679F1" w:rsidP="002679F1">
      <w:pPr>
        <w:pStyle w:val="ListParagraph"/>
      </w:pPr>
    </w:p>
    <w:p w14:paraId="7ED86027" w14:textId="730479E3" w:rsidR="00AD7401" w:rsidRPr="007E56DE" w:rsidRDefault="007E56DE" w:rsidP="0090600A">
      <w:pPr>
        <w:pStyle w:val="ListParagraph"/>
        <w:numPr>
          <w:ilvl w:val="0"/>
          <w:numId w:val="6"/>
        </w:numPr>
      </w:pPr>
      <m:oMath>
        <m:r>
          <m:rPr>
            <m:sty m:val="p"/>
          </m:rPr>
          <w:rPr>
            <w:rFonts w:ascii="Cambria Math" w:hAnsi="Cambria Math"/>
          </w:rPr>
          <m:t>Inventory Turnover=</m:t>
        </m:r>
        <m:f>
          <m:fPr>
            <m:ctrlPr>
              <w:rPr>
                <w:rFonts w:ascii="Cambria Math" w:hAnsi="Cambria Math"/>
              </w:rPr>
            </m:ctrlPr>
          </m:fPr>
          <m:num>
            <m:r>
              <m:rPr>
                <m:sty m:val="p"/>
              </m:rPr>
              <w:rPr>
                <w:rFonts w:ascii="Cambria Math" w:hAnsi="Cambria Math"/>
              </w:rPr>
              <m:t>Cost of Goods Sold</m:t>
            </m:r>
          </m:num>
          <m:den>
            <m:r>
              <m:rPr>
                <m:sty m:val="p"/>
              </m:rPr>
              <w:rPr>
                <w:rFonts w:ascii="Cambria Math" w:hAnsi="Cambria Math"/>
              </w:rPr>
              <m:t>Average Inventory</m:t>
            </m:r>
          </m:den>
        </m:f>
        <m:r>
          <m:rPr>
            <m:sty m:val="p"/>
          </m:rPr>
          <w:rPr>
            <w:rFonts w:ascii="Cambria Math" w:hAnsi="Cambria Math"/>
          </w:rPr>
          <m:t>=</m:t>
        </m:r>
        <m:f>
          <m:fPr>
            <m:ctrlPr>
              <w:rPr>
                <w:rFonts w:ascii="Cambria Math" w:hAnsi="Cambria Math"/>
              </w:rPr>
            </m:ctrlPr>
          </m:fPr>
          <m:num>
            <m:r>
              <m:rPr>
                <m:sty m:val="p"/>
              </m:rPr>
              <w:rPr>
                <w:rFonts w:ascii="Cambria Math" w:hAnsi="Cambria Math"/>
              </w:rPr>
              <m:t>$1,281,000</m:t>
            </m:r>
          </m:num>
          <m:den>
            <m:f>
              <m:fPr>
                <m:ctrlPr>
                  <w:rPr>
                    <w:rFonts w:ascii="Cambria Math" w:hAnsi="Cambria Math"/>
                  </w:rPr>
                </m:ctrlPr>
              </m:fPr>
              <m:num>
                <m:r>
                  <m:rPr>
                    <m:sty m:val="p"/>
                  </m:rPr>
                  <w:rPr>
                    <w:rFonts w:ascii="Cambria Math" w:hAnsi="Cambria Math"/>
                  </w:rPr>
                  <m:t>$500,000+$620,000</m:t>
                </m:r>
              </m:num>
              <m:den>
                <m:r>
                  <m:rPr>
                    <m:sty m:val="p"/>
                  </m:rPr>
                  <w:rPr>
                    <w:rFonts w:ascii="Cambria Math" w:hAnsi="Cambria Math"/>
                  </w:rPr>
                  <m:t>2</m:t>
                </m:r>
              </m:den>
            </m:f>
          </m:den>
        </m:f>
        <m:r>
          <m:rPr>
            <m:sty m:val="p"/>
          </m:rPr>
          <w:rPr>
            <w:rFonts w:ascii="Cambria Math" w:hAnsi="Cambria Math"/>
          </w:rPr>
          <m:t>=2.3 times</m:t>
        </m:r>
      </m:oMath>
    </w:p>
    <w:p w14:paraId="01975E29" w14:textId="2DDD7759" w:rsidR="002679F1" w:rsidRPr="007E56DE" w:rsidRDefault="002679F1" w:rsidP="002679F1">
      <w:pPr>
        <w:pStyle w:val="ListParagraph"/>
      </w:pPr>
      <w:r w:rsidRPr="007E56DE">
        <w:rPr>
          <w:rFonts w:eastAsiaTheme="minorEastAsia"/>
        </w:rPr>
        <w:t xml:space="preserve">Here, the cost of goods sold is </w:t>
      </w:r>
      <m:oMath>
        <m:r>
          <m:rPr>
            <m:sty m:val="p"/>
          </m:rPr>
          <w:rPr>
            <w:rFonts w:ascii="Cambria Math" w:eastAsiaTheme="minorEastAsia" w:hAnsi="Cambria Math"/>
          </w:rPr>
          <m:t>Price per Unit×</m:t>
        </m:r>
        <m:d>
          <m:dPr>
            <m:ctrlPr>
              <w:rPr>
                <w:rFonts w:ascii="Cambria Math" w:eastAsiaTheme="minorEastAsia" w:hAnsi="Cambria Math"/>
              </w:rPr>
            </m:ctrlPr>
          </m:dPr>
          <m:e>
            <m:r>
              <m:rPr>
                <m:sty m:val="p"/>
              </m:rPr>
              <w:rPr>
                <w:rFonts w:ascii="Cambria Math" w:eastAsiaTheme="minorEastAsia" w:hAnsi="Cambria Math"/>
              </w:rPr>
              <m:t>Starting Inventory+Purchased or Manufactured Inventory-Ending Inventory</m:t>
            </m:r>
          </m:e>
        </m:d>
      </m:oMath>
    </w:p>
    <w:p w14:paraId="6EE5A70A" w14:textId="77777777" w:rsidR="00CF20E0" w:rsidRPr="007E56DE" w:rsidRDefault="00CF20E0" w:rsidP="00CF20E0"/>
    <w:p w14:paraId="4615827C" w14:textId="339A0452" w:rsidR="00CF20E0" w:rsidRPr="007E56DE" w:rsidRDefault="00CF20E0" w:rsidP="00CF20E0">
      <w:r w:rsidRPr="000E1021">
        <w:rPr>
          <w:b/>
          <w:bCs/>
          <w:color w:val="66D9EE" w:themeColor="accent3"/>
        </w:rPr>
        <w:t>Profitability Ratios</w:t>
      </w:r>
      <w:r w:rsidRPr="007E56DE">
        <w:t xml:space="preserve"> measure the income or operating success of a company for a given </w:t>
      </w:r>
      <w:proofErr w:type="gramStart"/>
      <w:r w:rsidRPr="007E56DE">
        <w:t>period of time</w:t>
      </w:r>
      <w:proofErr w:type="gramEnd"/>
      <w:r w:rsidRPr="007E56DE">
        <w:t>.</w:t>
      </w:r>
    </w:p>
    <w:p w14:paraId="561C3699" w14:textId="0317D6CF" w:rsidR="00CF20E0" w:rsidRPr="007E56DE" w:rsidRDefault="007E56DE" w:rsidP="00CF20E0">
      <w:pPr>
        <w:pStyle w:val="ListParagraph"/>
        <w:numPr>
          <w:ilvl w:val="0"/>
          <w:numId w:val="7"/>
        </w:numPr>
      </w:pPr>
      <m:oMath>
        <m:r>
          <m:rPr>
            <m:sty m:val="p"/>
          </m:rPr>
          <w:rPr>
            <w:rFonts w:ascii="Cambria Math" w:hAnsi="Cambria Math"/>
          </w:rPr>
          <m:t>Profit Margin=</m:t>
        </m:r>
        <m:f>
          <m:fPr>
            <m:ctrlPr>
              <w:rPr>
                <w:rFonts w:ascii="Cambria Math" w:hAnsi="Cambria Math"/>
              </w:rPr>
            </m:ctrlPr>
          </m:fPr>
          <m:num>
            <m:r>
              <m:rPr>
                <m:sty m:val="p"/>
              </m:rPr>
              <w:rPr>
                <w:rFonts w:ascii="Cambria Math" w:hAnsi="Cambria Math"/>
              </w:rPr>
              <m:t>Net Income</m:t>
            </m:r>
          </m:num>
          <m:den>
            <m:r>
              <m:rPr>
                <m:sty m:val="p"/>
              </m:rPr>
              <w:rPr>
                <w:rFonts w:ascii="Cambria Math" w:hAnsi="Cambria Math"/>
              </w:rPr>
              <m:t>Net Sales</m:t>
            </m:r>
          </m:den>
        </m:f>
        <m:r>
          <m:rPr>
            <m:sty m:val="p"/>
          </m:rPr>
          <w:rPr>
            <w:rFonts w:ascii="Cambria Math" w:hAnsi="Cambria Math"/>
          </w:rPr>
          <m:t>=</m:t>
        </m:r>
        <m:f>
          <m:fPr>
            <m:ctrlPr>
              <w:rPr>
                <w:rFonts w:ascii="Cambria Math" w:eastAsiaTheme="minorEastAsia" w:hAnsi="Cambria Math"/>
              </w:rPr>
            </m:ctrlPr>
          </m:fPr>
          <m:num>
            <m:r>
              <m:rPr>
                <m:sty m:val="p"/>
              </m:rPr>
              <w:rPr>
                <w:rFonts w:ascii="Cambria Math" w:eastAsiaTheme="minorEastAsia" w:hAnsi="Cambria Math"/>
              </w:rPr>
              <m:t>$263,800</m:t>
            </m:r>
          </m:num>
          <m:den>
            <m:r>
              <m:rPr>
                <m:sty m:val="p"/>
              </m:rPr>
              <w:rPr>
                <w:rFonts w:ascii="Cambria Math" w:eastAsiaTheme="minorEastAsia" w:hAnsi="Cambria Math"/>
              </w:rPr>
              <m:t>$2,097,000</m:t>
            </m:r>
          </m:den>
        </m:f>
        <m:r>
          <m:rPr>
            <m:sty m:val="p"/>
          </m:rPr>
          <w:rPr>
            <w:rFonts w:ascii="Cambria Math" w:eastAsiaTheme="minorEastAsia" w:hAnsi="Cambria Math"/>
          </w:rPr>
          <m:t>×100%=12.6%</m:t>
        </m:r>
      </m:oMath>
    </w:p>
    <w:p w14:paraId="5C8D2729" w14:textId="7C360C73" w:rsidR="002679F1" w:rsidRPr="007E56DE" w:rsidRDefault="002679F1" w:rsidP="002679F1">
      <w:pPr>
        <w:pStyle w:val="ListParagraph"/>
      </w:pPr>
      <w:r w:rsidRPr="007E56DE">
        <w:t>Here, Net Sales is also sometimes called Net Revenue or Net Turnover.</w:t>
      </w:r>
    </w:p>
    <w:p w14:paraId="70AA4D67" w14:textId="77777777" w:rsidR="002679F1" w:rsidRPr="007E56DE" w:rsidRDefault="002679F1" w:rsidP="002679F1">
      <w:pPr>
        <w:pStyle w:val="ListParagraph"/>
      </w:pPr>
    </w:p>
    <w:p w14:paraId="22861793" w14:textId="33C8C091" w:rsidR="00CF20E0" w:rsidRPr="007E56DE" w:rsidRDefault="007E56DE" w:rsidP="00CF20E0">
      <w:pPr>
        <w:pStyle w:val="ListParagraph"/>
        <w:numPr>
          <w:ilvl w:val="0"/>
          <w:numId w:val="7"/>
        </w:numPr>
      </w:pPr>
      <m:oMath>
        <m:r>
          <m:rPr>
            <m:sty m:val="p"/>
          </m:rPr>
          <w:rPr>
            <w:rFonts w:ascii="Cambria Math" w:hAnsi="Cambria Math"/>
          </w:rPr>
          <m:t>Asset Turnover=</m:t>
        </m:r>
        <m:f>
          <m:fPr>
            <m:ctrlPr>
              <w:rPr>
                <w:rFonts w:ascii="Cambria Math" w:hAnsi="Cambria Math"/>
              </w:rPr>
            </m:ctrlPr>
          </m:fPr>
          <m:num>
            <m:r>
              <m:rPr>
                <m:sty m:val="p"/>
              </m:rPr>
              <w:rPr>
                <w:rFonts w:ascii="Cambria Math" w:hAnsi="Cambria Math"/>
              </w:rPr>
              <m:t>Net Sales</m:t>
            </m:r>
          </m:num>
          <m:den>
            <m:r>
              <m:rPr>
                <m:sty m:val="p"/>
              </m:rPr>
              <w:rPr>
                <w:rFonts w:ascii="Cambria Math" w:hAnsi="Cambria Math"/>
              </w:rPr>
              <m:t>Average Assets</m:t>
            </m:r>
          </m:den>
        </m:f>
        <m:r>
          <m:rPr>
            <m:sty m:val="p"/>
          </m:rPr>
          <w:rPr>
            <w:rFonts w:ascii="Cambria Math" w:hAnsi="Cambria Math"/>
          </w:rPr>
          <m:t>=</m:t>
        </m:r>
        <m:f>
          <m:fPr>
            <m:ctrlPr>
              <w:rPr>
                <w:rFonts w:ascii="Cambria Math" w:hAnsi="Cambria Math"/>
              </w:rPr>
            </m:ctrlPr>
          </m:fPr>
          <m:num>
            <m:r>
              <m:rPr>
                <m:sty m:val="p"/>
              </m:rPr>
              <w:rPr>
                <w:rFonts w:ascii="Cambria Math" w:hAnsi="Cambria Math"/>
              </w:rPr>
              <m:t>$2,097,000</m:t>
            </m:r>
          </m:num>
          <m:den>
            <m:f>
              <m:fPr>
                <m:ctrlPr>
                  <w:rPr>
                    <w:rFonts w:ascii="Cambria Math" w:hAnsi="Cambria Math"/>
                  </w:rPr>
                </m:ctrlPr>
              </m:fPr>
              <m:num>
                <m:r>
                  <m:rPr>
                    <m:sty m:val="p"/>
                  </m:rPr>
                  <w:rPr>
                    <w:rFonts w:ascii="Cambria Math" w:hAnsi="Cambria Math"/>
                  </w:rPr>
                  <m:t>$1,595,000+$1,835,000</m:t>
                </m:r>
              </m:num>
              <m:den>
                <m:r>
                  <m:rPr>
                    <m:sty m:val="p"/>
                  </m:rPr>
                  <w:rPr>
                    <w:rFonts w:ascii="Cambria Math" w:hAnsi="Cambria Math"/>
                  </w:rPr>
                  <m:t>2</m:t>
                </m:r>
              </m:den>
            </m:f>
          </m:den>
        </m:f>
        <m:r>
          <m:rPr>
            <m:sty m:val="p"/>
          </m:rPr>
          <w:rPr>
            <w:rFonts w:ascii="Cambria Math" w:hAnsi="Cambria Math"/>
          </w:rPr>
          <m:t>=1.22 times</m:t>
        </m:r>
      </m:oMath>
    </w:p>
    <w:p w14:paraId="3BC6A9F4" w14:textId="77777777" w:rsidR="002679F1" w:rsidRPr="007E56DE" w:rsidRDefault="002679F1" w:rsidP="002679F1">
      <w:pPr>
        <w:pStyle w:val="ListParagraph"/>
      </w:pPr>
    </w:p>
    <w:p w14:paraId="4EABFCA9" w14:textId="68A38F01" w:rsidR="00CF20E0" w:rsidRPr="007E56DE" w:rsidRDefault="007E56DE" w:rsidP="00CF20E0">
      <w:pPr>
        <w:pStyle w:val="ListParagraph"/>
        <w:numPr>
          <w:ilvl w:val="0"/>
          <w:numId w:val="7"/>
        </w:numPr>
      </w:pPr>
      <m:oMath>
        <m:r>
          <m:rPr>
            <m:sty m:val="p"/>
          </m:rPr>
          <w:rPr>
            <w:rFonts w:ascii="Cambria Math" w:hAnsi="Cambria Math"/>
          </w:rPr>
          <m:t>Return on Assets=</m:t>
        </m:r>
        <m:f>
          <m:fPr>
            <m:ctrlPr>
              <w:rPr>
                <w:rFonts w:ascii="Cambria Math" w:hAnsi="Cambria Math"/>
              </w:rPr>
            </m:ctrlPr>
          </m:fPr>
          <m:num>
            <m:r>
              <m:rPr>
                <m:sty m:val="p"/>
              </m:rPr>
              <w:rPr>
                <w:rFonts w:ascii="Cambria Math" w:hAnsi="Cambria Math"/>
              </w:rPr>
              <m:t>Net Income</m:t>
            </m:r>
          </m:num>
          <m:den>
            <m:r>
              <m:rPr>
                <m:sty m:val="p"/>
              </m:rPr>
              <w:rPr>
                <w:rFonts w:ascii="Cambria Math" w:hAnsi="Cambria Math"/>
              </w:rPr>
              <m:t>Average Assets</m:t>
            </m:r>
          </m:den>
        </m:f>
        <m:r>
          <m:rPr>
            <m:sty m:val="p"/>
          </m:rPr>
          <w:rPr>
            <w:rFonts w:ascii="Cambria Math" w:hAnsi="Cambria Math"/>
          </w:rPr>
          <m:t>=</m:t>
        </m:r>
        <m:f>
          <m:fPr>
            <m:ctrlPr>
              <w:rPr>
                <w:rFonts w:ascii="Cambria Math" w:hAnsi="Cambria Math"/>
              </w:rPr>
            </m:ctrlPr>
          </m:fPr>
          <m:num>
            <m:r>
              <m:rPr>
                <m:sty m:val="p"/>
              </m:rPr>
              <w:rPr>
                <w:rFonts w:ascii="Cambria Math" w:hAnsi="Cambria Math"/>
              </w:rPr>
              <m:t>$263,800</m:t>
            </m:r>
          </m:num>
          <m:den>
            <m:f>
              <m:fPr>
                <m:ctrlPr>
                  <w:rPr>
                    <w:rFonts w:ascii="Cambria Math" w:hAnsi="Cambria Math"/>
                  </w:rPr>
                </m:ctrlPr>
              </m:fPr>
              <m:num>
                <m:r>
                  <m:rPr>
                    <m:sty m:val="p"/>
                  </m:rPr>
                  <w:rPr>
                    <w:rFonts w:ascii="Cambria Math" w:hAnsi="Cambria Math"/>
                  </w:rPr>
                  <m:t>$1,595,000+$1,835,000</m:t>
                </m:r>
              </m:num>
              <m:den>
                <m:r>
                  <m:rPr>
                    <m:sty m:val="p"/>
                  </m:rPr>
                  <w:rPr>
                    <w:rFonts w:ascii="Cambria Math" w:hAnsi="Cambria Math"/>
                  </w:rPr>
                  <m:t>4</m:t>
                </m:r>
              </m:den>
            </m:f>
          </m:den>
        </m:f>
        <m:r>
          <m:rPr>
            <m:sty m:val="p"/>
          </m:rPr>
          <w:rPr>
            <w:rFonts w:ascii="Cambria Math" w:hAnsi="Cambria Math"/>
          </w:rPr>
          <m:t>×100%=15.4%</m:t>
        </m:r>
      </m:oMath>
    </w:p>
    <w:p w14:paraId="510DA305" w14:textId="7AA7C7E7" w:rsidR="002679F1" w:rsidRPr="007E56DE" w:rsidRDefault="007E56DE" w:rsidP="002679F1">
      <w:pPr>
        <w:pStyle w:val="ListParagraph"/>
        <w:numPr>
          <w:ilvl w:val="0"/>
          <w:numId w:val="7"/>
        </w:numPr>
      </w:pPr>
      <m:oMath>
        <m:r>
          <m:rPr>
            <m:sty m:val="p"/>
          </m:rPr>
          <w:rPr>
            <w:rFonts w:ascii="Cambria Math" w:hAnsi="Cambria Math"/>
          </w:rPr>
          <w:lastRenderedPageBreak/>
          <m:t>Return on Common Stockholde</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r>
          <m:rPr>
            <m:sty m:val="p"/>
          </m:rPr>
          <w:rPr>
            <w:rFonts w:ascii="Cambria Math" w:hAnsi="Cambria Math"/>
          </w:rPr>
          <m:t>s Equity=</m:t>
        </m:r>
        <m:f>
          <m:fPr>
            <m:ctrlPr>
              <w:rPr>
                <w:rFonts w:ascii="Cambria Math" w:hAnsi="Cambria Math"/>
              </w:rPr>
            </m:ctrlPr>
          </m:fPr>
          <m:num>
            <m:r>
              <m:rPr>
                <m:sty m:val="p"/>
              </m:rPr>
              <w:rPr>
                <w:rFonts w:ascii="Cambria Math" w:hAnsi="Cambria Math"/>
              </w:rPr>
              <m:t>Net Income</m:t>
            </m:r>
          </m:num>
          <m:den>
            <m:r>
              <m:rPr>
                <m:sty m:val="p"/>
              </m:rPr>
              <w:rPr>
                <w:rFonts w:ascii="Cambria Math" w:hAnsi="Cambria Math"/>
              </w:rPr>
              <m:t>Average Common Stockholde</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r>
              <m:rPr>
                <m:sty m:val="p"/>
              </m:rPr>
              <w:rPr>
                <w:rFonts w:ascii="Cambria Math" w:hAnsi="Cambria Math"/>
              </w:rPr>
              <m:t>s Equaity</m:t>
            </m:r>
          </m:den>
        </m:f>
        <m:r>
          <m:rPr>
            <m:sty m:val="p"/>
          </m:rPr>
          <w:rPr>
            <w:rFonts w:ascii="Cambria Math" w:hAnsi="Cambria Math"/>
          </w:rPr>
          <m:t>=</m:t>
        </m:r>
        <m:f>
          <m:fPr>
            <m:ctrlPr>
              <w:rPr>
                <w:rFonts w:ascii="Cambria Math" w:hAnsi="Cambria Math"/>
              </w:rPr>
            </m:ctrlPr>
          </m:fPr>
          <m:num>
            <m:r>
              <m:rPr>
                <m:sty m:val="p"/>
              </m:rPr>
              <w:rPr>
                <w:rFonts w:ascii="Cambria Math" w:hAnsi="Cambria Math"/>
              </w:rPr>
              <m:t>$263,800</m:t>
            </m:r>
          </m:num>
          <m:den>
            <m:f>
              <m:fPr>
                <m:ctrlPr>
                  <w:rPr>
                    <w:rFonts w:ascii="Cambria Math" w:hAnsi="Cambria Math"/>
                  </w:rPr>
                </m:ctrlPr>
              </m:fPr>
              <m:num>
                <m:r>
                  <m:rPr>
                    <m:sty m:val="p"/>
                  </m:rPr>
                  <w:rPr>
                    <w:rFonts w:ascii="Cambria Math" w:hAnsi="Cambria Math"/>
                  </w:rPr>
                  <m:t>$795,000+$1,003,000</m:t>
                </m:r>
              </m:num>
              <m:den>
                <m:r>
                  <m:rPr>
                    <m:sty m:val="p"/>
                  </m:rPr>
                  <w:rPr>
                    <w:rFonts w:ascii="Cambria Math" w:hAnsi="Cambria Math"/>
                  </w:rPr>
                  <m:t>2</m:t>
                </m:r>
              </m:den>
            </m:f>
          </m:den>
        </m:f>
        <m:r>
          <m:rPr>
            <m:sty m:val="p"/>
          </m:rPr>
          <w:rPr>
            <w:rFonts w:ascii="Cambria Math" w:hAnsi="Cambria Math"/>
          </w:rPr>
          <m:t>×100%=29.3%</m:t>
        </m:r>
      </m:oMath>
    </w:p>
    <w:p w14:paraId="77B28B1A" w14:textId="51ED52AD" w:rsidR="002679F1" w:rsidRPr="007E56DE" w:rsidRDefault="002679F1" w:rsidP="002679F1">
      <w:pPr>
        <w:pStyle w:val="ListParagraph"/>
      </w:pPr>
      <w:r w:rsidRPr="007E56DE">
        <w:t>Here, in the numerator, we also sometimes subtract the Preferred Dividend if it is given. The Preferred Dividend is the amount paid to priority stockholders before any payments are made to us commoners.</w:t>
      </w:r>
      <w:r w:rsidR="006F4F44" w:rsidRPr="007E56DE">
        <w:t xml:space="preserve"> </w:t>
      </w:r>
      <m:oMath>
        <m:r>
          <m:rPr>
            <m:sty m:val="p"/>
          </m:rPr>
          <w:rPr>
            <w:rFonts w:ascii="Cambria Math" w:hAnsi="Cambria Math"/>
          </w:rPr>
          <m:t>Net Income-Preferred Dividend</m:t>
        </m:r>
      </m:oMath>
      <w:r w:rsidR="006F4F44" w:rsidRPr="007E56DE">
        <w:rPr>
          <w:rFonts w:eastAsiaTheme="minorEastAsia"/>
        </w:rPr>
        <w:t xml:space="preserve"> is called the Retained Earnings.</w:t>
      </w:r>
    </w:p>
    <w:p w14:paraId="36AA351A" w14:textId="77777777" w:rsidR="002679F1" w:rsidRPr="007E56DE" w:rsidRDefault="002679F1" w:rsidP="002679F1">
      <w:pPr>
        <w:pStyle w:val="ListParagraph"/>
      </w:pPr>
    </w:p>
    <w:p w14:paraId="177A4395" w14:textId="6C24611A" w:rsidR="007B141B" w:rsidRPr="007E56DE" w:rsidRDefault="007E56DE" w:rsidP="00CF20E0">
      <w:pPr>
        <w:pStyle w:val="ListParagraph"/>
        <w:numPr>
          <w:ilvl w:val="0"/>
          <w:numId w:val="7"/>
        </w:numPr>
      </w:pPr>
      <m:oMath>
        <m:r>
          <m:rPr>
            <m:sty m:val="p"/>
          </m:rPr>
          <w:rPr>
            <w:rFonts w:ascii="Cambria Math" w:hAnsi="Cambria Math"/>
          </w:rPr>
          <m:t>Payout Ratio=</m:t>
        </m:r>
        <m:f>
          <m:fPr>
            <m:ctrlPr>
              <w:rPr>
                <w:rFonts w:ascii="Cambria Math" w:hAnsi="Cambria Math"/>
              </w:rPr>
            </m:ctrlPr>
          </m:fPr>
          <m:num>
            <m:r>
              <m:rPr>
                <m:sty m:val="p"/>
              </m:rPr>
              <w:rPr>
                <w:rFonts w:ascii="Cambria Math" w:hAnsi="Cambria Math"/>
              </w:rPr>
              <m:t>Cash Dividends</m:t>
            </m:r>
          </m:num>
          <m:den>
            <m:r>
              <m:rPr>
                <m:sty m:val="p"/>
              </m:rPr>
              <w:rPr>
                <w:rFonts w:ascii="Cambria Math" w:hAnsi="Cambria Math"/>
              </w:rPr>
              <m:t>Net Income</m:t>
            </m:r>
          </m:den>
        </m:f>
        <m:r>
          <m:rPr>
            <m:sty m:val="p"/>
          </m:rPr>
          <w:rPr>
            <w:rFonts w:ascii="Cambria Math" w:hAnsi="Cambria Math"/>
          </w:rPr>
          <m:t>=</m:t>
        </m:r>
        <m:f>
          <m:fPr>
            <m:ctrlPr>
              <w:rPr>
                <w:rFonts w:ascii="Cambria Math" w:hAnsi="Cambria Math"/>
              </w:rPr>
            </m:ctrlPr>
          </m:fPr>
          <m:num>
            <m:r>
              <m:rPr>
                <m:sty m:val="p"/>
              </m:rPr>
              <w:rPr>
                <w:rFonts w:ascii="Cambria Math" w:hAnsi="Cambria Math"/>
              </w:rPr>
              <m:t>$61,200</m:t>
            </m:r>
          </m:num>
          <m:den>
            <m:r>
              <m:rPr>
                <m:sty m:val="p"/>
              </m:rPr>
              <w:rPr>
                <w:rFonts w:ascii="Cambria Math" w:hAnsi="Cambria Math"/>
              </w:rPr>
              <m:t>$263,800</m:t>
            </m:r>
          </m:den>
        </m:f>
        <m:r>
          <m:rPr>
            <m:sty m:val="p"/>
          </m:rPr>
          <w:rPr>
            <w:rFonts w:ascii="Cambria Math" w:hAnsi="Cambria Math"/>
          </w:rPr>
          <m:t>×100%=23.2%</m:t>
        </m:r>
      </m:oMath>
    </w:p>
    <w:p w14:paraId="22BA3D2D" w14:textId="4A32E96B" w:rsidR="007B141B" w:rsidRPr="007E56DE" w:rsidRDefault="007B141B" w:rsidP="007B141B"/>
    <w:p w14:paraId="1E3177C1" w14:textId="32B141C4" w:rsidR="007B141B" w:rsidRPr="007E56DE" w:rsidRDefault="007B141B" w:rsidP="007B141B">
      <w:r w:rsidRPr="000E1021">
        <w:rPr>
          <w:b/>
          <w:bCs/>
          <w:color w:val="66D9EE" w:themeColor="accent3"/>
        </w:rPr>
        <w:t>Solvency Ratios</w:t>
      </w:r>
      <w:r w:rsidRPr="007E56DE">
        <w:t xml:space="preserve"> measure the ability of a company to survive over a long period of time.</w:t>
      </w:r>
    </w:p>
    <w:p w14:paraId="5534DC09" w14:textId="746B21ED" w:rsidR="007B141B" w:rsidRPr="007E56DE" w:rsidRDefault="007E56DE" w:rsidP="007B141B">
      <w:pPr>
        <w:pStyle w:val="ListParagraph"/>
        <w:numPr>
          <w:ilvl w:val="0"/>
          <w:numId w:val="8"/>
        </w:numPr>
      </w:pPr>
      <m:oMath>
        <m:r>
          <m:rPr>
            <m:sty m:val="p"/>
          </m:rPr>
          <w:rPr>
            <w:rFonts w:ascii="Cambria Math" w:hAnsi="Cambria Math"/>
          </w:rPr>
          <m:t>Debt to Total Assets Ratio=</m:t>
        </m:r>
        <m:f>
          <m:fPr>
            <m:ctrlPr>
              <w:rPr>
                <w:rFonts w:ascii="Cambria Math" w:hAnsi="Cambria Math"/>
              </w:rPr>
            </m:ctrlPr>
          </m:fPr>
          <m:num>
            <m:r>
              <m:rPr>
                <m:sty m:val="p"/>
              </m:rPr>
              <w:rPr>
                <w:rFonts w:ascii="Cambria Math" w:hAnsi="Cambria Math"/>
              </w:rPr>
              <m:t>Total Debt</m:t>
            </m:r>
          </m:num>
          <m:den>
            <m:r>
              <m:rPr>
                <m:sty m:val="p"/>
              </m:rPr>
              <w:rPr>
                <w:rFonts w:ascii="Cambria Math" w:hAnsi="Cambria Math"/>
              </w:rPr>
              <m:t>Total Assets</m:t>
            </m:r>
          </m:den>
        </m:f>
        <m:r>
          <m:rPr>
            <m:sty m:val="p"/>
          </m:rPr>
          <w:rPr>
            <w:rFonts w:ascii="Cambria Math" w:hAnsi="Cambria Math"/>
          </w:rPr>
          <m:t>=</m:t>
        </m:r>
        <m:f>
          <m:fPr>
            <m:ctrlPr>
              <w:rPr>
                <w:rFonts w:ascii="Cambria Math" w:hAnsi="Cambria Math"/>
              </w:rPr>
            </m:ctrlPr>
          </m:fPr>
          <m:num>
            <m:r>
              <m:rPr>
                <m:sty m:val="p"/>
              </m:rPr>
              <w:rPr>
                <w:rFonts w:ascii="Cambria Math" w:hAnsi="Cambria Math"/>
              </w:rPr>
              <m:t>$835,000</m:t>
            </m:r>
          </m:num>
          <m:den>
            <m:r>
              <m:rPr>
                <m:sty m:val="p"/>
              </m:rPr>
              <w:rPr>
                <w:rFonts w:ascii="Cambria Math" w:hAnsi="Cambria Math"/>
              </w:rPr>
              <m:t>$1,835,000</m:t>
            </m:r>
          </m:den>
        </m:f>
        <m:r>
          <m:rPr>
            <m:sty m:val="p"/>
          </m:rPr>
          <w:rPr>
            <w:rFonts w:ascii="Cambria Math" w:hAnsi="Cambria Math"/>
          </w:rPr>
          <m:t>×100%=45.3%</m:t>
        </m:r>
      </m:oMath>
    </w:p>
    <w:p w14:paraId="6FA84B94" w14:textId="4AF0748F" w:rsidR="0090600A" w:rsidRDefault="0090600A" w:rsidP="0090600A"/>
    <w:p w14:paraId="05B47828" w14:textId="71A97C4C" w:rsidR="000151A6" w:rsidRDefault="000151A6" w:rsidP="0090600A">
      <w:r>
        <w:t xml:space="preserve">If we wish to perform ratio analysis for </w:t>
      </w:r>
      <w:r w:rsidRPr="000E1021">
        <w:rPr>
          <w:b/>
          <w:bCs/>
          <w:color w:val="66D9EE" w:themeColor="accent3"/>
        </w:rPr>
        <w:t>multiple years</w:t>
      </w:r>
      <w:r>
        <w:t>, we can use tables.</w:t>
      </w:r>
    </w:p>
    <w:p w14:paraId="0E12670C" w14:textId="112023E5" w:rsidR="000151A6" w:rsidRDefault="000151A6" w:rsidP="000151A6">
      <w:pPr>
        <w:spacing w:after="0"/>
      </w:pPr>
      <w:r>
        <w:t>Current Ratio</w:t>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768"/>
        <w:gridCol w:w="1380"/>
        <w:gridCol w:w="1228"/>
      </w:tblGrid>
      <w:tr w:rsidR="000151A6" w:rsidRPr="000151A6" w14:paraId="3424DA90" w14:textId="77777777" w:rsidTr="000151A6">
        <w:trPr>
          <w:trHeight w:val="567"/>
        </w:trPr>
        <w:tc>
          <w:tcPr>
            <w:tcW w:w="0" w:type="auto"/>
            <w:vAlign w:val="center"/>
          </w:tcPr>
          <w:p w14:paraId="6DD3EB37" w14:textId="77777777" w:rsidR="000151A6" w:rsidRPr="000151A6" w:rsidRDefault="000151A6" w:rsidP="000151A6">
            <w:pPr>
              <w:spacing w:after="0" w:line="240" w:lineRule="auto"/>
              <w:jc w:val="center"/>
              <w:rPr>
                <w:sz w:val="20"/>
                <w:szCs w:val="18"/>
              </w:rPr>
            </w:pPr>
            <w:r w:rsidRPr="000151A6">
              <w:rPr>
                <w:sz w:val="20"/>
                <w:szCs w:val="18"/>
              </w:rPr>
              <w:t>Formula</w:t>
            </w:r>
          </w:p>
        </w:tc>
        <w:tc>
          <w:tcPr>
            <w:tcW w:w="0" w:type="auto"/>
            <w:vAlign w:val="center"/>
          </w:tcPr>
          <w:p w14:paraId="75F37FBC" w14:textId="77777777" w:rsidR="000151A6" w:rsidRPr="000151A6" w:rsidRDefault="000151A6" w:rsidP="000151A6">
            <w:pPr>
              <w:spacing w:after="0" w:line="240" w:lineRule="auto"/>
              <w:jc w:val="center"/>
              <w:rPr>
                <w:sz w:val="20"/>
                <w:szCs w:val="18"/>
              </w:rPr>
            </w:pPr>
            <w:r w:rsidRPr="000151A6">
              <w:rPr>
                <w:sz w:val="20"/>
                <w:szCs w:val="18"/>
              </w:rPr>
              <w:t>2010</w:t>
            </w:r>
          </w:p>
        </w:tc>
        <w:tc>
          <w:tcPr>
            <w:tcW w:w="0" w:type="auto"/>
            <w:vAlign w:val="center"/>
          </w:tcPr>
          <w:p w14:paraId="197838B9" w14:textId="77777777" w:rsidR="000151A6" w:rsidRPr="000151A6" w:rsidRDefault="000151A6" w:rsidP="000151A6">
            <w:pPr>
              <w:spacing w:after="0" w:line="240" w:lineRule="auto"/>
              <w:jc w:val="center"/>
              <w:rPr>
                <w:sz w:val="20"/>
                <w:szCs w:val="18"/>
              </w:rPr>
            </w:pPr>
            <w:r w:rsidRPr="000151A6">
              <w:rPr>
                <w:sz w:val="20"/>
                <w:szCs w:val="18"/>
              </w:rPr>
              <w:t>2011</w:t>
            </w:r>
          </w:p>
        </w:tc>
      </w:tr>
      <w:tr w:rsidR="000151A6" w:rsidRPr="000151A6" w14:paraId="6250F250" w14:textId="77777777" w:rsidTr="000151A6">
        <w:trPr>
          <w:trHeight w:val="850"/>
        </w:trPr>
        <w:tc>
          <w:tcPr>
            <w:tcW w:w="0" w:type="auto"/>
            <w:vAlign w:val="center"/>
          </w:tcPr>
          <w:p w14:paraId="04E1997D" w14:textId="77777777" w:rsidR="000151A6" w:rsidRPr="000151A6" w:rsidRDefault="00E329C0" w:rsidP="000151A6">
            <w:pPr>
              <w:spacing w:after="0" w:line="240" w:lineRule="auto"/>
              <w:jc w:val="center"/>
              <w:rPr>
                <w:rFonts w:eastAsiaTheme="minorEastAsia"/>
                <w:sz w:val="20"/>
                <w:szCs w:val="18"/>
              </w:rPr>
            </w:pPr>
            <m:oMathPara>
              <m:oMath>
                <m:f>
                  <m:fPr>
                    <m:ctrlPr>
                      <w:rPr>
                        <w:rFonts w:ascii="Cambria Math" w:hAnsi="Cambria Math"/>
                        <w:sz w:val="20"/>
                        <w:szCs w:val="18"/>
                      </w:rPr>
                    </m:ctrlPr>
                  </m:fPr>
                  <m:num>
                    <m:r>
                      <m:rPr>
                        <m:sty m:val="p"/>
                      </m:rPr>
                      <w:rPr>
                        <w:rFonts w:ascii="Cambria Math" w:hAnsi="Cambria Math"/>
                        <w:sz w:val="20"/>
                        <w:szCs w:val="18"/>
                      </w:rPr>
                      <m:t>Current Assets</m:t>
                    </m:r>
                  </m:num>
                  <m:den>
                    <m:r>
                      <m:rPr>
                        <m:sty m:val="p"/>
                      </m:rPr>
                      <w:rPr>
                        <w:rFonts w:ascii="Cambria Math" w:hAnsi="Cambria Math"/>
                        <w:sz w:val="20"/>
                        <w:szCs w:val="18"/>
                      </w:rPr>
                      <m:t>Current Liabilities</m:t>
                    </m:r>
                  </m:den>
                </m:f>
              </m:oMath>
            </m:oMathPara>
          </w:p>
        </w:tc>
        <w:tc>
          <w:tcPr>
            <w:tcW w:w="0" w:type="auto"/>
            <w:vAlign w:val="center"/>
          </w:tcPr>
          <w:p w14:paraId="5DC9F559" w14:textId="77777777" w:rsidR="000151A6" w:rsidRPr="000151A6" w:rsidRDefault="000151A6" w:rsidP="000151A6">
            <w:pPr>
              <w:spacing w:after="0" w:line="240" w:lineRule="auto"/>
              <w:jc w:val="center"/>
              <w:rPr>
                <w:rFonts w:eastAsiaTheme="minorEastAsia"/>
                <w:sz w:val="20"/>
                <w:szCs w:val="18"/>
              </w:rPr>
            </w:pPr>
            <m:oMathPara>
              <m:oMath>
                <m:r>
                  <w:rPr>
                    <w:rFonts w:ascii="Cambria Math" w:eastAsiaTheme="minorEastAsia" w:hAnsi="Cambria Math"/>
                    <w:sz w:val="20"/>
                    <w:szCs w:val="18"/>
                  </w:rPr>
                  <m:t>=</m:t>
                </m:r>
                <m:f>
                  <m:fPr>
                    <m:ctrlPr>
                      <w:rPr>
                        <w:rFonts w:ascii="Cambria Math" w:hAnsi="Cambria Math"/>
                        <w:sz w:val="20"/>
                        <w:szCs w:val="18"/>
                      </w:rPr>
                    </m:ctrlPr>
                  </m:fPr>
                  <m:num>
                    <m:r>
                      <m:rPr>
                        <m:sty m:val="p"/>
                      </m:rPr>
                      <w:rPr>
                        <w:rFonts w:ascii="Cambria Math" w:hAnsi="Cambria Math"/>
                        <w:sz w:val="20"/>
                        <w:szCs w:val="18"/>
                      </w:rPr>
                      <m:t>$1,020,000</m:t>
                    </m:r>
                  </m:num>
                  <m:den>
                    <m:r>
                      <m:rPr>
                        <m:sty m:val="p"/>
                      </m:rPr>
                      <w:rPr>
                        <w:rFonts w:ascii="Cambria Math" w:hAnsi="Cambria Math"/>
                        <w:sz w:val="20"/>
                        <w:szCs w:val="18"/>
                      </w:rPr>
                      <m:t>$344,500</m:t>
                    </m:r>
                  </m:den>
                </m:f>
              </m:oMath>
            </m:oMathPara>
          </w:p>
        </w:tc>
        <w:tc>
          <w:tcPr>
            <w:tcW w:w="0" w:type="auto"/>
            <w:vAlign w:val="center"/>
          </w:tcPr>
          <w:p w14:paraId="27D6463A" w14:textId="77777777" w:rsidR="000151A6" w:rsidRPr="000151A6" w:rsidRDefault="000151A6" w:rsidP="000151A6">
            <w:pPr>
              <w:spacing w:after="0" w:line="240" w:lineRule="auto"/>
              <w:jc w:val="center"/>
              <w:rPr>
                <w:rFonts w:eastAsiaTheme="minorEastAsia"/>
                <w:sz w:val="20"/>
                <w:szCs w:val="18"/>
              </w:rPr>
            </w:pPr>
            <m:oMathPara>
              <m:oMath>
                <m:r>
                  <w:rPr>
                    <w:rFonts w:ascii="Cambria Math" w:eastAsiaTheme="minorEastAsia" w:hAnsi="Cambria Math"/>
                    <w:sz w:val="20"/>
                    <w:szCs w:val="18"/>
                  </w:rPr>
                  <m:t>=</m:t>
                </m:r>
                <m:f>
                  <m:fPr>
                    <m:ctrlPr>
                      <w:rPr>
                        <w:rFonts w:ascii="Cambria Math" w:hAnsi="Cambria Math"/>
                        <w:sz w:val="20"/>
                        <w:szCs w:val="18"/>
                      </w:rPr>
                    </m:ctrlPr>
                  </m:fPr>
                  <m:num>
                    <m:r>
                      <m:rPr>
                        <m:sty m:val="p"/>
                      </m:rPr>
                      <w:rPr>
                        <w:rFonts w:ascii="Cambria Math" w:hAnsi="Cambria Math"/>
                        <w:sz w:val="20"/>
                        <w:szCs w:val="18"/>
                      </w:rPr>
                      <m:t>$820,000</m:t>
                    </m:r>
                  </m:num>
                  <m:den>
                    <m:r>
                      <m:rPr>
                        <m:sty m:val="p"/>
                      </m:rPr>
                      <w:rPr>
                        <w:rFonts w:ascii="Cambria Math" w:hAnsi="Cambria Math"/>
                        <w:sz w:val="20"/>
                        <w:szCs w:val="18"/>
                      </w:rPr>
                      <m:t>$300,000</m:t>
                    </m:r>
                  </m:den>
                </m:f>
              </m:oMath>
            </m:oMathPara>
          </w:p>
        </w:tc>
      </w:tr>
      <w:tr w:rsidR="000151A6" w:rsidRPr="000151A6" w14:paraId="1AEB3B74" w14:textId="77777777" w:rsidTr="000151A6">
        <w:trPr>
          <w:trHeight w:val="567"/>
        </w:trPr>
        <w:tc>
          <w:tcPr>
            <w:tcW w:w="0" w:type="auto"/>
            <w:vAlign w:val="center"/>
          </w:tcPr>
          <w:p w14:paraId="566CDFB2" w14:textId="77777777" w:rsidR="000151A6" w:rsidRPr="000151A6" w:rsidRDefault="000151A6" w:rsidP="000151A6">
            <w:pPr>
              <w:spacing w:after="0" w:line="240" w:lineRule="auto"/>
              <w:jc w:val="center"/>
              <w:rPr>
                <w:rFonts w:eastAsiaTheme="minorEastAsia"/>
                <w:sz w:val="20"/>
                <w:szCs w:val="18"/>
              </w:rPr>
            </w:pPr>
          </w:p>
        </w:tc>
        <w:tc>
          <w:tcPr>
            <w:tcW w:w="0" w:type="auto"/>
            <w:vAlign w:val="center"/>
          </w:tcPr>
          <w:p w14:paraId="29CE9A70" w14:textId="77777777" w:rsidR="000151A6" w:rsidRPr="000151A6" w:rsidRDefault="000151A6" w:rsidP="000151A6">
            <w:pPr>
              <w:spacing w:after="0" w:line="240" w:lineRule="auto"/>
              <w:jc w:val="center"/>
              <w:rPr>
                <w:rFonts w:eastAsiaTheme="minorEastAsia"/>
                <w:sz w:val="20"/>
                <w:szCs w:val="18"/>
              </w:rPr>
            </w:pPr>
            <m:oMathPara>
              <m:oMath>
                <m:r>
                  <w:rPr>
                    <w:rFonts w:ascii="Cambria Math" w:eastAsiaTheme="minorEastAsia" w:hAnsi="Cambria Math"/>
                    <w:sz w:val="20"/>
                    <w:szCs w:val="18"/>
                  </w:rPr>
                  <m:t>=2.96:1</m:t>
                </m:r>
              </m:oMath>
            </m:oMathPara>
          </w:p>
        </w:tc>
        <w:tc>
          <w:tcPr>
            <w:tcW w:w="0" w:type="auto"/>
            <w:vAlign w:val="center"/>
          </w:tcPr>
          <w:p w14:paraId="76078E4E" w14:textId="77777777" w:rsidR="000151A6" w:rsidRPr="000151A6" w:rsidRDefault="000151A6" w:rsidP="000151A6">
            <w:pPr>
              <w:spacing w:after="0" w:line="240" w:lineRule="auto"/>
              <w:jc w:val="center"/>
              <w:rPr>
                <w:sz w:val="20"/>
                <w:szCs w:val="18"/>
              </w:rPr>
            </w:pPr>
            <m:oMathPara>
              <m:oMath>
                <m:r>
                  <w:rPr>
                    <w:rFonts w:ascii="Cambria Math" w:eastAsiaTheme="minorEastAsia" w:hAnsi="Cambria Math"/>
                    <w:sz w:val="20"/>
                    <w:szCs w:val="18"/>
                  </w:rPr>
                  <m:t>=2.73:1</m:t>
                </m:r>
              </m:oMath>
            </m:oMathPara>
          </w:p>
        </w:tc>
      </w:tr>
    </w:tbl>
    <w:p w14:paraId="17FFC9E1" w14:textId="368D8A35" w:rsidR="000151A6" w:rsidRDefault="000151A6" w:rsidP="0090600A"/>
    <w:p w14:paraId="6EFBDBA2" w14:textId="77777777" w:rsidR="001C5EB6" w:rsidRDefault="001C5EB6" w:rsidP="0090600A"/>
    <w:p w14:paraId="330ECFE8" w14:textId="4B960B1E" w:rsidR="005B4819" w:rsidRDefault="005446D7" w:rsidP="0090600A">
      <w:r>
        <w:lastRenderedPageBreak/>
        <w:t>In summary,</w:t>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272"/>
        <w:gridCol w:w="3555"/>
        <w:gridCol w:w="3179"/>
      </w:tblGrid>
      <w:tr w:rsidR="0007597B" w:rsidRPr="0007597B" w14:paraId="7DA9B6C7" w14:textId="77777777" w:rsidTr="0007597B">
        <w:trPr>
          <w:trHeight w:val="567"/>
        </w:trPr>
        <w:tc>
          <w:tcPr>
            <w:tcW w:w="0" w:type="auto"/>
            <w:vAlign w:val="center"/>
          </w:tcPr>
          <w:p w14:paraId="1D9BE49C" w14:textId="77777777" w:rsidR="0007597B" w:rsidRPr="000E1021" w:rsidRDefault="0007597B" w:rsidP="0007597B">
            <w:pPr>
              <w:spacing w:after="0" w:line="240" w:lineRule="auto"/>
              <w:jc w:val="center"/>
              <w:rPr>
                <w:b/>
                <w:bCs/>
                <w:sz w:val="20"/>
                <w:szCs w:val="18"/>
              </w:rPr>
            </w:pPr>
            <w:r w:rsidRPr="000E1021">
              <w:rPr>
                <w:b/>
                <w:bCs/>
                <w:sz w:val="20"/>
                <w:szCs w:val="18"/>
              </w:rPr>
              <w:t>Ratio</w:t>
            </w:r>
          </w:p>
        </w:tc>
        <w:tc>
          <w:tcPr>
            <w:tcW w:w="0" w:type="auto"/>
            <w:vAlign w:val="center"/>
          </w:tcPr>
          <w:p w14:paraId="009DF471" w14:textId="77777777" w:rsidR="0007597B" w:rsidRPr="000E1021" w:rsidRDefault="0007597B" w:rsidP="0007597B">
            <w:pPr>
              <w:spacing w:after="0" w:line="240" w:lineRule="auto"/>
              <w:jc w:val="center"/>
              <w:rPr>
                <w:b/>
                <w:bCs/>
                <w:sz w:val="20"/>
                <w:szCs w:val="18"/>
              </w:rPr>
            </w:pPr>
            <w:r w:rsidRPr="000E1021">
              <w:rPr>
                <w:b/>
                <w:bCs/>
                <w:sz w:val="20"/>
                <w:szCs w:val="18"/>
              </w:rPr>
              <w:t>Formula</w:t>
            </w:r>
          </w:p>
        </w:tc>
        <w:tc>
          <w:tcPr>
            <w:tcW w:w="0" w:type="auto"/>
            <w:vAlign w:val="center"/>
          </w:tcPr>
          <w:p w14:paraId="46B73644" w14:textId="77777777" w:rsidR="0007597B" w:rsidRPr="000E1021" w:rsidRDefault="0007597B" w:rsidP="0007597B">
            <w:pPr>
              <w:spacing w:after="0" w:line="240" w:lineRule="auto"/>
              <w:jc w:val="center"/>
              <w:rPr>
                <w:b/>
                <w:bCs/>
                <w:sz w:val="20"/>
                <w:szCs w:val="18"/>
              </w:rPr>
            </w:pPr>
            <w:r w:rsidRPr="000E1021">
              <w:rPr>
                <w:b/>
                <w:bCs/>
                <w:sz w:val="20"/>
                <w:szCs w:val="18"/>
              </w:rPr>
              <w:t>Purpose</w:t>
            </w:r>
          </w:p>
        </w:tc>
      </w:tr>
      <w:tr w:rsidR="0007597B" w:rsidRPr="0007597B" w14:paraId="2BCBE613" w14:textId="77777777" w:rsidTr="00CD607A">
        <w:trPr>
          <w:trHeight w:val="567"/>
        </w:trPr>
        <w:tc>
          <w:tcPr>
            <w:tcW w:w="0" w:type="auto"/>
            <w:gridSpan w:val="3"/>
            <w:vAlign w:val="center"/>
          </w:tcPr>
          <w:p w14:paraId="1F76CE0F" w14:textId="7C2E09A7" w:rsidR="0007597B" w:rsidRPr="0007597B" w:rsidRDefault="0007597B" w:rsidP="0007597B">
            <w:pPr>
              <w:spacing w:after="0" w:line="240" w:lineRule="auto"/>
              <w:jc w:val="center"/>
              <w:rPr>
                <w:sz w:val="20"/>
                <w:szCs w:val="18"/>
              </w:rPr>
            </w:pPr>
            <w:r w:rsidRPr="0007597B">
              <w:rPr>
                <w:sz w:val="20"/>
                <w:szCs w:val="18"/>
              </w:rPr>
              <w:t>Liquidity Ratios</w:t>
            </w:r>
          </w:p>
        </w:tc>
      </w:tr>
      <w:tr w:rsidR="0007597B" w:rsidRPr="0007597B" w14:paraId="3E11F5BA" w14:textId="77777777" w:rsidTr="0007597B">
        <w:trPr>
          <w:trHeight w:val="850"/>
        </w:trPr>
        <w:tc>
          <w:tcPr>
            <w:tcW w:w="0" w:type="auto"/>
            <w:vAlign w:val="center"/>
          </w:tcPr>
          <w:p w14:paraId="48462B76" w14:textId="77777777" w:rsidR="0007597B" w:rsidRPr="0007597B" w:rsidRDefault="0007597B" w:rsidP="0007597B">
            <w:pPr>
              <w:spacing w:after="0" w:line="240" w:lineRule="auto"/>
              <w:jc w:val="center"/>
              <w:rPr>
                <w:sz w:val="20"/>
                <w:szCs w:val="18"/>
              </w:rPr>
            </w:pPr>
            <w:r w:rsidRPr="0007597B">
              <w:rPr>
                <w:sz w:val="20"/>
                <w:szCs w:val="18"/>
              </w:rPr>
              <w:t>Current Ratio</w:t>
            </w:r>
          </w:p>
        </w:tc>
        <w:tc>
          <w:tcPr>
            <w:tcW w:w="0" w:type="auto"/>
            <w:vAlign w:val="center"/>
          </w:tcPr>
          <w:p w14:paraId="46FE2F6C" w14:textId="77777777" w:rsidR="0007597B" w:rsidRPr="0007597B" w:rsidRDefault="00E329C0" w:rsidP="0007597B">
            <w:pPr>
              <w:spacing w:after="0" w:line="240" w:lineRule="auto"/>
              <w:jc w:val="center"/>
              <w:rPr>
                <w:rFonts w:eastAsiaTheme="minorEastAsia"/>
                <w:sz w:val="20"/>
                <w:szCs w:val="18"/>
              </w:rPr>
            </w:pPr>
            <m:oMathPara>
              <m:oMath>
                <m:f>
                  <m:fPr>
                    <m:ctrlPr>
                      <w:rPr>
                        <w:rFonts w:ascii="Cambria Math" w:hAnsi="Cambria Math"/>
                        <w:sz w:val="20"/>
                        <w:szCs w:val="18"/>
                      </w:rPr>
                    </m:ctrlPr>
                  </m:fPr>
                  <m:num>
                    <m:r>
                      <m:rPr>
                        <m:sty m:val="p"/>
                      </m:rPr>
                      <w:rPr>
                        <w:rFonts w:ascii="Cambria Math" w:hAnsi="Cambria Math"/>
                        <w:sz w:val="20"/>
                        <w:szCs w:val="18"/>
                      </w:rPr>
                      <m:t>Current Assets</m:t>
                    </m:r>
                  </m:num>
                  <m:den>
                    <m:r>
                      <m:rPr>
                        <m:sty m:val="p"/>
                      </m:rPr>
                      <w:rPr>
                        <w:rFonts w:ascii="Cambria Math" w:hAnsi="Cambria Math"/>
                        <w:sz w:val="20"/>
                        <w:szCs w:val="18"/>
                      </w:rPr>
                      <m:t>Current Liabilities</m:t>
                    </m:r>
                  </m:den>
                </m:f>
              </m:oMath>
            </m:oMathPara>
          </w:p>
        </w:tc>
        <w:tc>
          <w:tcPr>
            <w:tcW w:w="0" w:type="auto"/>
            <w:vAlign w:val="center"/>
          </w:tcPr>
          <w:p w14:paraId="206E2F1C" w14:textId="77777777" w:rsidR="0007597B" w:rsidRPr="0007597B" w:rsidRDefault="0007597B" w:rsidP="0007597B">
            <w:pPr>
              <w:spacing w:after="0" w:line="240" w:lineRule="auto"/>
              <w:jc w:val="center"/>
              <w:rPr>
                <w:rFonts w:eastAsiaTheme="minorEastAsia"/>
                <w:sz w:val="20"/>
                <w:szCs w:val="18"/>
              </w:rPr>
            </w:pPr>
            <w:r w:rsidRPr="0007597B">
              <w:rPr>
                <w:rFonts w:eastAsiaTheme="minorEastAsia"/>
                <w:sz w:val="20"/>
                <w:szCs w:val="18"/>
              </w:rPr>
              <w:t>Measures short-term debt-paying ability.</w:t>
            </w:r>
          </w:p>
        </w:tc>
      </w:tr>
      <w:tr w:rsidR="0007597B" w:rsidRPr="0007597B" w14:paraId="7D4A48D4" w14:textId="77777777" w:rsidTr="0007597B">
        <w:trPr>
          <w:trHeight w:val="1134"/>
        </w:trPr>
        <w:tc>
          <w:tcPr>
            <w:tcW w:w="0" w:type="auto"/>
            <w:vAlign w:val="center"/>
          </w:tcPr>
          <w:p w14:paraId="520CAF05" w14:textId="77777777" w:rsidR="0007597B" w:rsidRPr="0007597B" w:rsidRDefault="0007597B" w:rsidP="0007597B">
            <w:pPr>
              <w:spacing w:after="0" w:line="240" w:lineRule="auto"/>
              <w:jc w:val="center"/>
              <w:rPr>
                <w:rFonts w:eastAsiaTheme="minorEastAsia"/>
                <w:sz w:val="20"/>
                <w:szCs w:val="18"/>
              </w:rPr>
            </w:pPr>
            <w:r w:rsidRPr="0007597B">
              <w:rPr>
                <w:rFonts w:eastAsiaTheme="minorEastAsia"/>
                <w:sz w:val="20"/>
                <w:szCs w:val="18"/>
              </w:rPr>
              <w:t>Acid-Test (Quick) Ratio</w:t>
            </w:r>
          </w:p>
        </w:tc>
        <w:tc>
          <w:tcPr>
            <w:tcW w:w="0" w:type="auto"/>
            <w:vAlign w:val="center"/>
          </w:tcPr>
          <w:p w14:paraId="4BA33379" w14:textId="21AE2122" w:rsidR="0007597B" w:rsidRPr="0007597B" w:rsidRDefault="00E329C0" w:rsidP="0007597B">
            <w:pPr>
              <w:spacing w:after="0" w:line="240" w:lineRule="auto"/>
              <w:jc w:val="center"/>
              <w:rPr>
                <w:rFonts w:eastAsiaTheme="minorEastAsia"/>
                <w:sz w:val="20"/>
                <w:szCs w:val="18"/>
              </w:rPr>
            </w:pPr>
            <m:oMathPara>
              <m:oMath>
                <m:f>
                  <m:fPr>
                    <m:ctrlPr>
                      <w:rPr>
                        <w:rFonts w:ascii="Cambria Math" w:eastAsiaTheme="minorEastAsia" w:hAnsi="Cambria Math"/>
                        <w:sz w:val="20"/>
                        <w:szCs w:val="18"/>
                      </w:rPr>
                    </m:ctrlPr>
                  </m:fPr>
                  <m:num>
                    <m:eqArr>
                      <m:eqArrPr>
                        <m:ctrlPr>
                          <w:rPr>
                            <w:rFonts w:ascii="Cambria Math" w:eastAsiaTheme="minorEastAsia" w:hAnsi="Cambria Math"/>
                            <w:sz w:val="20"/>
                            <w:szCs w:val="18"/>
                          </w:rPr>
                        </m:ctrlPr>
                      </m:eqArrPr>
                      <m:e>
                        <m:r>
                          <m:rPr>
                            <m:sty m:val="p"/>
                          </m:rPr>
                          <w:rPr>
                            <w:rFonts w:ascii="Cambria Math" w:eastAsiaTheme="minorEastAsia" w:hAnsi="Cambria Math"/>
                            <w:sz w:val="20"/>
                            <w:szCs w:val="18"/>
                          </w:rPr>
                          <m:t>Cash+Short-Term Investments</m:t>
                        </m:r>
                      </m:e>
                      <m:e>
                        <m:r>
                          <m:rPr>
                            <m:sty m:val="p"/>
                          </m:rPr>
                          <w:rPr>
                            <w:rFonts w:ascii="Cambria Math" w:eastAsiaTheme="minorEastAsia" w:hAnsi="Cambria Math"/>
                            <w:sz w:val="20"/>
                            <w:szCs w:val="18"/>
                          </w:rPr>
                          <m:t xml:space="preserve">+Receivables </m:t>
                        </m:r>
                        <m:d>
                          <m:dPr>
                            <m:ctrlPr>
                              <w:rPr>
                                <w:rFonts w:ascii="Cambria Math" w:eastAsiaTheme="minorEastAsia" w:hAnsi="Cambria Math"/>
                                <w:sz w:val="20"/>
                                <w:szCs w:val="18"/>
                              </w:rPr>
                            </m:ctrlPr>
                          </m:dPr>
                          <m:e>
                            <m:r>
                              <m:rPr>
                                <m:sty m:val="p"/>
                              </m:rPr>
                              <w:rPr>
                                <w:rFonts w:ascii="Cambria Math" w:eastAsiaTheme="minorEastAsia" w:hAnsi="Cambria Math"/>
                                <w:sz w:val="20"/>
                                <w:szCs w:val="18"/>
                              </w:rPr>
                              <m:t>Net</m:t>
                            </m:r>
                          </m:e>
                        </m:d>
                        <m:ctrlPr>
                          <w:rPr>
                            <w:rFonts w:ascii="Cambria Math" w:eastAsiaTheme="minorEastAsia" w:hAnsi="Cambria Math"/>
                            <w:i/>
                            <w:sz w:val="20"/>
                            <w:szCs w:val="18"/>
                          </w:rPr>
                        </m:ctrlPr>
                      </m:e>
                    </m:eqArr>
                  </m:num>
                  <m:den>
                    <m:r>
                      <m:rPr>
                        <m:sty m:val="p"/>
                      </m:rPr>
                      <w:rPr>
                        <w:rFonts w:ascii="Cambria Math" w:eastAsiaTheme="minorEastAsia" w:hAnsi="Cambria Math"/>
                        <w:sz w:val="20"/>
                        <w:szCs w:val="18"/>
                      </w:rPr>
                      <m:t>Current Liabilities</m:t>
                    </m:r>
                  </m:den>
                </m:f>
              </m:oMath>
            </m:oMathPara>
          </w:p>
        </w:tc>
        <w:tc>
          <w:tcPr>
            <w:tcW w:w="0" w:type="auto"/>
            <w:vAlign w:val="center"/>
          </w:tcPr>
          <w:p w14:paraId="4EFA8EEF" w14:textId="77777777" w:rsidR="0007597B" w:rsidRPr="0007597B" w:rsidRDefault="0007597B" w:rsidP="0007597B">
            <w:pPr>
              <w:spacing w:after="0" w:line="240" w:lineRule="auto"/>
              <w:jc w:val="center"/>
              <w:rPr>
                <w:rFonts w:eastAsiaTheme="minorEastAsia"/>
                <w:sz w:val="20"/>
                <w:szCs w:val="18"/>
              </w:rPr>
            </w:pPr>
            <w:r w:rsidRPr="0007597B">
              <w:rPr>
                <w:rFonts w:eastAsiaTheme="minorEastAsia"/>
                <w:sz w:val="20"/>
                <w:szCs w:val="18"/>
              </w:rPr>
              <w:t>Measures immediate short-term liquidity.</w:t>
            </w:r>
          </w:p>
        </w:tc>
      </w:tr>
      <w:tr w:rsidR="0007597B" w:rsidRPr="0007597B" w14:paraId="64F99C99" w14:textId="77777777" w:rsidTr="0007597B">
        <w:trPr>
          <w:trHeight w:val="850"/>
        </w:trPr>
        <w:tc>
          <w:tcPr>
            <w:tcW w:w="0" w:type="auto"/>
            <w:vAlign w:val="center"/>
          </w:tcPr>
          <w:p w14:paraId="25D8DD56" w14:textId="77777777" w:rsidR="0007597B" w:rsidRPr="0007597B" w:rsidRDefault="0007597B" w:rsidP="0007597B">
            <w:pPr>
              <w:spacing w:after="0" w:line="240" w:lineRule="auto"/>
              <w:jc w:val="center"/>
              <w:rPr>
                <w:rFonts w:eastAsiaTheme="minorEastAsia"/>
                <w:sz w:val="20"/>
                <w:szCs w:val="18"/>
              </w:rPr>
            </w:pPr>
            <w:r w:rsidRPr="0007597B">
              <w:rPr>
                <w:rFonts w:eastAsiaTheme="minorEastAsia"/>
                <w:sz w:val="20"/>
                <w:szCs w:val="18"/>
              </w:rPr>
              <w:t>Receivables Turnover</w:t>
            </w:r>
          </w:p>
        </w:tc>
        <w:tc>
          <w:tcPr>
            <w:tcW w:w="0" w:type="auto"/>
            <w:vAlign w:val="center"/>
          </w:tcPr>
          <w:p w14:paraId="0BAFEA83" w14:textId="77777777" w:rsidR="0007597B" w:rsidRPr="0007597B" w:rsidRDefault="00E329C0" w:rsidP="0007597B">
            <w:pPr>
              <w:spacing w:after="0" w:line="240" w:lineRule="auto"/>
              <w:jc w:val="center"/>
              <w:rPr>
                <w:rFonts w:eastAsiaTheme="minorEastAsia"/>
                <w:sz w:val="20"/>
                <w:szCs w:val="18"/>
              </w:rPr>
            </w:pPr>
            <m:oMathPara>
              <m:oMath>
                <m:f>
                  <m:fPr>
                    <m:ctrlPr>
                      <w:rPr>
                        <w:rFonts w:ascii="Cambria Math" w:eastAsiaTheme="minorEastAsia" w:hAnsi="Cambria Math"/>
                        <w:sz w:val="20"/>
                        <w:szCs w:val="18"/>
                      </w:rPr>
                    </m:ctrlPr>
                  </m:fPr>
                  <m:num>
                    <m:r>
                      <m:rPr>
                        <m:sty m:val="p"/>
                      </m:rPr>
                      <w:rPr>
                        <w:rFonts w:ascii="Cambria Math" w:eastAsiaTheme="minorEastAsia" w:hAnsi="Cambria Math"/>
                        <w:sz w:val="20"/>
                        <w:szCs w:val="18"/>
                      </w:rPr>
                      <m:t>Net Credit Sales</m:t>
                    </m:r>
                  </m:num>
                  <m:den>
                    <m:r>
                      <m:rPr>
                        <m:sty m:val="p"/>
                      </m:rPr>
                      <w:rPr>
                        <w:rFonts w:ascii="Cambria Math" w:eastAsiaTheme="minorEastAsia" w:hAnsi="Cambria Math"/>
                        <w:sz w:val="20"/>
                        <w:szCs w:val="18"/>
                      </w:rPr>
                      <m:t>Average Net Receivables</m:t>
                    </m:r>
                  </m:den>
                </m:f>
              </m:oMath>
            </m:oMathPara>
          </w:p>
        </w:tc>
        <w:tc>
          <w:tcPr>
            <w:tcW w:w="0" w:type="auto"/>
            <w:vAlign w:val="center"/>
          </w:tcPr>
          <w:p w14:paraId="76C454E4" w14:textId="77777777" w:rsidR="0007597B" w:rsidRPr="0007597B" w:rsidRDefault="0007597B" w:rsidP="0007597B">
            <w:pPr>
              <w:spacing w:after="0" w:line="240" w:lineRule="auto"/>
              <w:jc w:val="center"/>
              <w:rPr>
                <w:rFonts w:eastAsiaTheme="minorEastAsia"/>
                <w:sz w:val="20"/>
                <w:szCs w:val="18"/>
              </w:rPr>
            </w:pPr>
            <w:r w:rsidRPr="0007597B">
              <w:rPr>
                <w:rFonts w:eastAsiaTheme="minorEastAsia"/>
                <w:sz w:val="20"/>
                <w:szCs w:val="18"/>
              </w:rPr>
              <w:t>Measures liquidity of receivables.</w:t>
            </w:r>
          </w:p>
        </w:tc>
      </w:tr>
      <w:tr w:rsidR="0007597B" w:rsidRPr="0007597B" w14:paraId="4F55C7A9" w14:textId="77777777" w:rsidTr="0007597B">
        <w:trPr>
          <w:trHeight w:val="850"/>
        </w:trPr>
        <w:tc>
          <w:tcPr>
            <w:tcW w:w="0" w:type="auto"/>
            <w:vAlign w:val="center"/>
          </w:tcPr>
          <w:p w14:paraId="56F97777" w14:textId="77777777" w:rsidR="0007597B" w:rsidRPr="0007597B" w:rsidRDefault="0007597B" w:rsidP="0007597B">
            <w:pPr>
              <w:spacing w:after="0" w:line="240" w:lineRule="auto"/>
              <w:jc w:val="center"/>
              <w:rPr>
                <w:rFonts w:eastAsiaTheme="minorEastAsia"/>
                <w:sz w:val="20"/>
                <w:szCs w:val="18"/>
              </w:rPr>
            </w:pPr>
            <w:r w:rsidRPr="0007597B">
              <w:rPr>
                <w:rFonts w:eastAsiaTheme="minorEastAsia"/>
                <w:sz w:val="20"/>
                <w:szCs w:val="18"/>
              </w:rPr>
              <w:t>Inventory Turnover</w:t>
            </w:r>
          </w:p>
        </w:tc>
        <w:tc>
          <w:tcPr>
            <w:tcW w:w="0" w:type="auto"/>
            <w:vAlign w:val="center"/>
          </w:tcPr>
          <w:p w14:paraId="3B6900EC" w14:textId="77777777" w:rsidR="0007597B" w:rsidRPr="0007597B" w:rsidRDefault="00E329C0" w:rsidP="0007597B">
            <w:pPr>
              <w:spacing w:after="0" w:line="240" w:lineRule="auto"/>
              <w:jc w:val="center"/>
              <w:rPr>
                <w:rFonts w:eastAsiaTheme="minorEastAsia"/>
                <w:sz w:val="20"/>
                <w:szCs w:val="18"/>
              </w:rPr>
            </w:pPr>
            <m:oMathPara>
              <m:oMath>
                <m:f>
                  <m:fPr>
                    <m:ctrlPr>
                      <w:rPr>
                        <w:rFonts w:ascii="Cambria Math" w:eastAsiaTheme="minorEastAsia" w:hAnsi="Cambria Math"/>
                        <w:sz w:val="20"/>
                        <w:szCs w:val="18"/>
                      </w:rPr>
                    </m:ctrlPr>
                  </m:fPr>
                  <m:num>
                    <m:r>
                      <m:rPr>
                        <m:sty m:val="p"/>
                      </m:rPr>
                      <w:rPr>
                        <w:rFonts w:ascii="Cambria Math" w:eastAsiaTheme="minorEastAsia" w:hAnsi="Cambria Math"/>
                        <w:sz w:val="20"/>
                        <w:szCs w:val="18"/>
                      </w:rPr>
                      <m:t>Cost of Goods Sold</m:t>
                    </m:r>
                  </m:num>
                  <m:den>
                    <m:r>
                      <m:rPr>
                        <m:sty m:val="p"/>
                      </m:rPr>
                      <w:rPr>
                        <w:rFonts w:ascii="Cambria Math" w:eastAsiaTheme="minorEastAsia" w:hAnsi="Cambria Math"/>
                        <w:sz w:val="20"/>
                        <w:szCs w:val="18"/>
                      </w:rPr>
                      <m:t>Average Inventory</m:t>
                    </m:r>
                  </m:den>
                </m:f>
              </m:oMath>
            </m:oMathPara>
          </w:p>
        </w:tc>
        <w:tc>
          <w:tcPr>
            <w:tcW w:w="0" w:type="auto"/>
            <w:vAlign w:val="center"/>
          </w:tcPr>
          <w:p w14:paraId="46553EC4" w14:textId="77777777" w:rsidR="0007597B" w:rsidRPr="0007597B" w:rsidRDefault="0007597B" w:rsidP="0007597B">
            <w:pPr>
              <w:spacing w:after="0" w:line="240" w:lineRule="auto"/>
              <w:jc w:val="center"/>
              <w:rPr>
                <w:rFonts w:eastAsiaTheme="minorEastAsia"/>
                <w:sz w:val="20"/>
                <w:szCs w:val="18"/>
              </w:rPr>
            </w:pPr>
            <w:r w:rsidRPr="0007597B">
              <w:rPr>
                <w:rFonts w:eastAsiaTheme="minorEastAsia"/>
                <w:sz w:val="20"/>
                <w:szCs w:val="18"/>
              </w:rPr>
              <w:t>Measures liquidity of inventory.</w:t>
            </w:r>
          </w:p>
        </w:tc>
      </w:tr>
      <w:tr w:rsidR="0007597B" w:rsidRPr="0007597B" w14:paraId="5DB76D17" w14:textId="77777777" w:rsidTr="00ED4EF5">
        <w:trPr>
          <w:trHeight w:val="567"/>
        </w:trPr>
        <w:tc>
          <w:tcPr>
            <w:tcW w:w="0" w:type="auto"/>
            <w:gridSpan w:val="3"/>
            <w:vAlign w:val="center"/>
          </w:tcPr>
          <w:p w14:paraId="5277EC77" w14:textId="4EBEA535" w:rsidR="0007597B" w:rsidRPr="0007597B" w:rsidRDefault="0007597B" w:rsidP="0007597B">
            <w:pPr>
              <w:spacing w:after="0" w:line="240" w:lineRule="auto"/>
              <w:jc w:val="center"/>
              <w:rPr>
                <w:noProof/>
                <w:sz w:val="20"/>
                <w:szCs w:val="18"/>
              </w:rPr>
            </w:pPr>
            <w:r w:rsidRPr="0007597B">
              <w:rPr>
                <w:noProof/>
                <w:sz w:val="20"/>
                <w:szCs w:val="18"/>
              </w:rPr>
              <w:t>Profitability Ratios</w:t>
            </w:r>
          </w:p>
        </w:tc>
      </w:tr>
      <w:tr w:rsidR="0007597B" w:rsidRPr="0007597B" w14:paraId="3D5DAD5B" w14:textId="77777777" w:rsidTr="0007597B">
        <w:trPr>
          <w:trHeight w:val="1134"/>
        </w:trPr>
        <w:tc>
          <w:tcPr>
            <w:tcW w:w="0" w:type="auto"/>
            <w:vAlign w:val="center"/>
          </w:tcPr>
          <w:p w14:paraId="60E0FFB8" w14:textId="77777777" w:rsidR="0007597B" w:rsidRPr="0007597B" w:rsidRDefault="0007597B" w:rsidP="0007597B">
            <w:pPr>
              <w:spacing w:after="0" w:line="240" w:lineRule="auto"/>
              <w:jc w:val="center"/>
              <w:rPr>
                <w:noProof/>
                <w:sz w:val="20"/>
                <w:szCs w:val="18"/>
              </w:rPr>
            </w:pPr>
            <w:r w:rsidRPr="0007597B">
              <w:rPr>
                <w:noProof/>
                <w:sz w:val="20"/>
                <w:szCs w:val="18"/>
              </w:rPr>
              <w:t>Profit Margin</w:t>
            </w:r>
          </w:p>
        </w:tc>
        <w:tc>
          <w:tcPr>
            <w:tcW w:w="0" w:type="auto"/>
            <w:vAlign w:val="center"/>
          </w:tcPr>
          <w:p w14:paraId="32BF130E" w14:textId="77777777" w:rsidR="0007597B" w:rsidRPr="0007597B" w:rsidRDefault="00E329C0" w:rsidP="0007597B">
            <w:pPr>
              <w:spacing w:after="0" w:line="240" w:lineRule="auto"/>
              <w:jc w:val="center"/>
              <w:rPr>
                <w:rFonts w:eastAsiaTheme="minorEastAsia"/>
                <w:noProof/>
                <w:sz w:val="20"/>
                <w:szCs w:val="18"/>
              </w:rPr>
            </w:pPr>
            <m:oMathPara>
              <m:oMath>
                <m:f>
                  <m:fPr>
                    <m:ctrlPr>
                      <w:rPr>
                        <w:rFonts w:ascii="Cambria Math" w:hAnsi="Cambria Math"/>
                        <w:noProof/>
                        <w:sz w:val="20"/>
                        <w:szCs w:val="18"/>
                      </w:rPr>
                    </m:ctrlPr>
                  </m:fPr>
                  <m:num>
                    <m:r>
                      <m:rPr>
                        <m:sty m:val="p"/>
                      </m:rPr>
                      <w:rPr>
                        <w:rFonts w:ascii="Cambria Math" w:hAnsi="Cambria Math"/>
                        <w:noProof/>
                        <w:sz w:val="20"/>
                        <w:szCs w:val="18"/>
                      </w:rPr>
                      <m:t>Net Income</m:t>
                    </m:r>
                  </m:num>
                  <m:den>
                    <m:r>
                      <m:rPr>
                        <m:sty m:val="p"/>
                      </m:rPr>
                      <w:rPr>
                        <w:rFonts w:ascii="Cambria Math" w:hAnsi="Cambria Math"/>
                        <w:noProof/>
                        <w:sz w:val="20"/>
                        <w:szCs w:val="18"/>
                      </w:rPr>
                      <m:t>Net Sales</m:t>
                    </m:r>
                  </m:den>
                </m:f>
              </m:oMath>
            </m:oMathPara>
          </w:p>
        </w:tc>
        <w:tc>
          <w:tcPr>
            <w:tcW w:w="0" w:type="auto"/>
            <w:vAlign w:val="center"/>
          </w:tcPr>
          <w:p w14:paraId="674AD86D" w14:textId="77777777" w:rsidR="0007597B" w:rsidRPr="0007597B" w:rsidRDefault="0007597B" w:rsidP="0007597B">
            <w:pPr>
              <w:spacing w:after="0" w:line="240" w:lineRule="auto"/>
              <w:jc w:val="center"/>
              <w:rPr>
                <w:rFonts w:eastAsiaTheme="minorEastAsia"/>
                <w:noProof/>
                <w:sz w:val="20"/>
                <w:szCs w:val="18"/>
              </w:rPr>
            </w:pPr>
            <w:r w:rsidRPr="0007597B">
              <w:rPr>
                <w:rFonts w:eastAsiaTheme="minorEastAsia"/>
                <w:noProof/>
                <w:sz w:val="20"/>
                <w:szCs w:val="18"/>
              </w:rPr>
              <w:t>Measures net income generated by each dollar of sales.</w:t>
            </w:r>
          </w:p>
        </w:tc>
      </w:tr>
      <w:tr w:rsidR="0007597B" w:rsidRPr="0007597B" w14:paraId="19CA874A" w14:textId="77777777" w:rsidTr="0007597B">
        <w:trPr>
          <w:trHeight w:val="1134"/>
        </w:trPr>
        <w:tc>
          <w:tcPr>
            <w:tcW w:w="0" w:type="auto"/>
            <w:vAlign w:val="center"/>
          </w:tcPr>
          <w:p w14:paraId="4DD05B24" w14:textId="77777777" w:rsidR="0007597B" w:rsidRPr="0007597B" w:rsidRDefault="0007597B" w:rsidP="0007597B">
            <w:pPr>
              <w:spacing w:after="0" w:line="240" w:lineRule="auto"/>
              <w:jc w:val="center"/>
              <w:rPr>
                <w:rFonts w:eastAsiaTheme="minorEastAsia"/>
                <w:noProof/>
                <w:sz w:val="20"/>
                <w:szCs w:val="18"/>
              </w:rPr>
            </w:pPr>
            <w:r w:rsidRPr="0007597B">
              <w:rPr>
                <w:rFonts w:eastAsiaTheme="minorEastAsia"/>
                <w:noProof/>
                <w:sz w:val="20"/>
                <w:szCs w:val="18"/>
              </w:rPr>
              <w:t>Asset Turnover</w:t>
            </w:r>
          </w:p>
        </w:tc>
        <w:tc>
          <w:tcPr>
            <w:tcW w:w="0" w:type="auto"/>
            <w:vAlign w:val="center"/>
          </w:tcPr>
          <w:p w14:paraId="4D45612C" w14:textId="77777777" w:rsidR="0007597B" w:rsidRPr="0007597B" w:rsidRDefault="00E329C0" w:rsidP="0007597B">
            <w:pPr>
              <w:spacing w:after="0" w:line="240" w:lineRule="auto"/>
              <w:jc w:val="center"/>
              <w:rPr>
                <w:rFonts w:eastAsiaTheme="minorEastAsia"/>
                <w:noProof/>
                <w:sz w:val="20"/>
                <w:szCs w:val="18"/>
              </w:rPr>
            </w:pPr>
            <m:oMathPara>
              <m:oMath>
                <m:f>
                  <m:fPr>
                    <m:ctrlPr>
                      <w:rPr>
                        <w:rFonts w:ascii="Cambria Math" w:eastAsiaTheme="minorEastAsia" w:hAnsi="Cambria Math"/>
                        <w:noProof/>
                        <w:sz w:val="20"/>
                        <w:szCs w:val="18"/>
                      </w:rPr>
                    </m:ctrlPr>
                  </m:fPr>
                  <m:num>
                    <m:r>
                      <m:rPr>
                        <m:sty m:val="p"/>
                      </m:rPr>
                      <w:rPr>
                        <w:rFonts w:ascii="Cambria Math" w:eastAsiaTheme="minorEastAsia" w:hAnsi="Cambria Math"/>
                        <w:noProof/>
                        <w:sz w:val="20"/>
                        <w:szCs w:val="18"/>
                      </w:rPr>
                      <m:t>Net Sales</m:t>
                    </m:r>
                  </m:num>
                  <m:den>
                    <m:r>
                      <m:rPr>
                        <m:sty m:val="p"/>
                      </m:rPr>
                      <w:rPr>
                        <w:rFonts w:ascii="Cambria Math" w:eastAsiaTheme="minorEastAsia" w:hAnsi="Cambria Math"/>
                        <w:noProof/>
                        <w:sz w:val="20"/>
                        <w:szCs w:val="18"/>
                      </w:rPr>
                      <m:t>Average Assets</m:t>
                    </m:r>
                  </m:den>
                </m:f>
              </m:oMath>
            </m:oMathPara>
          </w:p>
        </w:tc>
        <w:tc>
          <w:tcPr>
            <w:tcW w:w="0" w:type="auto"/>
            <w:vAlign w:val="center"/>
          </w:tcPr>
          <w:p w14:paraId="79ADC0CE" w14:textId="77777777" w:rsidR="0007597B" w:rsidRPr="0007597B" w:rsidRDefault="0007597B" w:rsidP="0007597B">
            <w:pPr>
              <w:spacing w:after="0" w:line="240" w:lineRule="auto"/>
              <w:jc w:val="center"/>
              <w:rPr>
                <w:rFonts w:eastAsiaTheme="minorEastAsia"/>
                <w:noProof/>
                <w:sz w:val="20"/>
                <w:szCs w:val="18"/>
              </w:rPr>
            </w:pPr>
            <w:r w:rsidRPr="0007597B">
              <w:rPr>
                <w:rFonts w:eastAsiaTheme="minorEastAsia"/>
                <w:noProof/>
                <w:sz w:val="20"/>
                <w:szCs w:val="18"/>
              </w:rPr>
              <w:t>Measures how efficiently assets are used to generate sales.</w:t>
            </w:r>
          </w:p>
        </w:tc>
      </w:tr>
      <w:tr w:rsidR="0007597B" w:rsidRPr="0007597B" w14:paraId="5C6B1C5F" w14:textId="77777777" w:rsidTr="0007597B">
        <w:trPr>
          <w:trHeight w:val="850"/>
        </w:trPr>
        <w:tc>
          <w:tcPr>
            <w:tcW w:w="0" w:type="auto"/>
            <w:vAlign w:val="center"/>
          </w:tcPr>
          <w:p w14:paraId="09B4DD74" w14:textId="77777777" w:rsidR="0007597B" w:rsidRPr="0007597B" w:rsidRDefault="0007597B" w:rsidP="0007597B">
            <w:pPr>
              <w:spacing w:after="0" w:line="240" w:lineRule="auto"/>
              <w:jc w:val="center"/>
              <w:rPr>
                <w:rFonts w:eastAsiaTheme="minorEastAsia"/>
                <w:noProof/>
                <w:sz w:val="20"/>
                <w:szCs w:val="18"/>
              </w:rPr>
            </w:pPr>
            <w:r w:rsidRPr="0007597B">
              <w:rPr>
                <w:rFonts w:eastAsiaTheme="minorEastAsia"/>
                <w:noProof/>
                <w:sz w:val="20"/>
                <w:szCs w:val="18"/>
              </w:rPr>
              <w:t>Return on Assets</w:t>
            </w:r>
          </w:p>
        </w:tc>
        <w:tc>
          <w:tcPr>
            <w:tcW w:w="0" w:type="auto"/>
            <w:vAlign w:val="center"/>
          </w:tcPr>
          <w:p w14:paraId="7AA06E20" w14:textId="77777777" w:rsidR="0007597B" w:rsidRPr="0007597B" w:rsidRDefault="00E329C0" w:rsidP="0007597B">
            <w:pPr>
              <w:spacing w:after="0" w:line="240" w:lineRule="auto"/>
              <w:jc w:val="center"/>
              <w:rPr>
                <w:rFonts w:eastAsiaTheme="minorEastAsia"/>
                <w:noProof/>
                <w:sz w:val="20"/>
                <w:szCs w:val="18"/>
              </w:rPr>
            </w:pPr>
            <m:oMathPara>
              <m:oMath>
                <m:f>
                  <m:fPr>
                    <m:ctrlPr>
                      <w:rPr>
                        <w:rFonts w:ascii="Cambria Math" w:eastAsiaTheme="minorEastAsia" w:hAnsi="Cambria Math"/>
                        <w:noProof/>
                        <w:sz w:val="20"/>
                        <w:szCs w:val="18"/>
                      </w:rPr>
                    </m:ctrlPr>
                  </m:fPr>
                  <m:num>
                    <m:r>
                      <m:rPr>
                        <m:sty m:val="p"/>
                      </m:rPr>
                      <w:rPr>
                        <w:rFonts w:ascii="Cambria Math" w:eastAsiaTheme="minorEastAsia" w:hAnsi="Cambria Math"/>
                        <w:noProof/>
                        <w:sz w:val="20"/>
                        <w:szCs w:val="18"/>
                      </w:rPr>
                      <m:t>Net Income</m:t>
                    </m:r>
                  </m:num>
                  <m:den>
                    <m:r>
                      <m:rPr>
                        <m:sty m:val="p"/>
                      </m:rPr>
                      <w:rPr>
                        <w:rFonts w:ascii="Cambria Math" w:eastAsiaTheme="minorEastAsia" w:hAnsi="Cambria Math"/>
                        <w:noProof/>
                        <w:sz w:val="20"/>
                        <w:szCs w:val="18"/>
                      </w:rPr>
                      <m:t>Average Assets</m:t>
                    </m:r>
                  </m:den>
                </m:f>
              </m:oMath>
            </m:oMathPara>
          </w:p>
        </w:tc>
        <w:tc>
          <w:tcPr>
            <w:tcW w:w="0" w:type="auto"/>
            <w:vAlign w:val="center"/>
          </w:tcPr>
          <w:p w14:paraId="77ADAA4C" w14:textId="77777777" w:rsidR="0007597B" w:rsidRPr="0007597B" w:rsidRDefault="0007597B" w:rsidP="0007597B">
            <w:pPr>
              <w:spacing w:after="0" w:line="240" w:lineRule="auto"/>
              <w:jc w:val="center"/>
              <w:rPr>
                <w:rFonts w:eastAsiaTheme="minorEastAsia"/>
                <w:noProof/>
                <w:sz w:val="20"/>
                <w:szCs w:val="18"/>
              </w:rPr>
            </w:pPr>
            <w:r w:rsidRPr="0007597B">
              <w:rPr>
                <w:rFonts w:eastAsiaTheme="minorEastAsia"/>
                <w:noProof/>
                <w:sz w:val="20"/>
                <w:szCs w:val="18"/>
              </w:rPr>
              <w:t>Measures overall profitability of assets.</w:t>
            </w:r>
          </w:p>
        </w:tc>
      </w:tr>
      <w:tr w:rsidR="0007597B" w:rsidRPr="0007597B" w14:paraId="12272D39" w14:textId="77777777" w:rsidTr="0007597B">
        <w:trPr>
          <w:trHeight w:val="850"/>
        </w:trPr>
        <w:tc>
          <w:tcPr>
            <w:tcW w:w="0" w:type="auto"/>
            <w:vAlign w:val="center"/>
          </w:tcPr>
          <w:p w14:paraId="142C3E9B" w14:textId="77777777" w:rsidR="0007597B" w:rsidRPr="0007597B" w:rsidRDefault="0007597B" w:rsidP="0007597B">
            <w:pPr>
              <w:spacing w:after="0" w:line="240" w:lineRule="auto"/>
              <w:jc w:val="center"/>
              <w:rPr>
                <w:rFonts w:eastAsiaTheme="minorEastAsia"/>
                <w:noProof/>
                <w:sz w:val="20"/>
                <w:szCs w:val="18"/>
              </w:rPr>
            </w:pPr>
            <w:r w:rsidRPr="0007597B">
              <w:rPr>
                <w:rFonts w:eastAsiaTheme="minorEastAsia"/>
                <w:noProof/>
                <w:sz w:val="20"/>
                <w:szCs w:val="18"/>
              </w:rPr>
              <w:t>Return on Common Stockholders’ Equity</w:t>
            </w:r>
          </w:p>
        </w:tc>
        <w:tc>
          <w:tcPr>
            <w:tcW w:w="0" w:type="auto"/>
            <w:vAlign w:val="center"/>
          </w:tcPr>
          <w:p w14:paraId="006A8ED6" w14:textId="77777777" w:rsidR="0007597B" w:rsidRPr="0007597B" w:rsidRDefault="00E329C0" w:rsidP="0007597B">
            <w:pPr>
              <w:spacing w:after="0" w:line="240" w:lineRule="auto"/>
              <w:jc w:val="center"/>
              <w:rPr>
                <w:rFonts w:eastAsiaTheme="minorEastAsia"/>
                <w:noProof/>
                <w:sz w:val="20"/>
                <w:szCs w:val="18"/>
              </w:rPr>
            </w:pPr>
            <m:oMathPara>
              <m:oMath>
                <m:f>
                  <m:fPr>
                    <m:ctrlPr>
                      <w:rPr>
                        <w:rFonts w:ascii="Cambria Math" w:eastAsiaTheme="minorEastAsia" w:hAnsi="Cambria Math"/>
                        <w:noProof/>
                        <w:sz w:val="20"/>
                        <w:szCs w:val="18"/>
                      </w:rPr>
                    </m:ctrlPr>
                  </m:fPr>
                  <m:num>
                    <m:r>
                      <m:rPr>
                        <m:sty m:val="p"/>
                      </m:rPr>
                      <w:rPr>
                        <w:rFonts w:ascii="Cambria Math" w:eastAsiaTheme="minorEastAsia" w:hAnsi="Cambria Math"/>
                        <w:noProof/>
                        <w:sz w:val="20"/>
                        <w:szCs w:val="18"/>
                      </w:rPr>
                      <m:t>Dividends</m:t>
                    </m:r>
                  </m:num>
                  <m:den>
                    <m:r>
                      <m:rPr>
                        <m:sty m:val="p"/>
                      </m:rPr>
                      <w:rPr>
                        <w:rFonts w:ascii="Cambria Math" w:eastAsiaTheme="minorEastAsia" w:hAnsi="Cambria Math"/>
                        <w:noProof/>
                        <w:sz w:val="20"/>
                        <w:szCs w:val="18"/>
                      </w:rPr>
                      <m:t>Average Common Stockholder</m:t>
                    </m:r>
                    <m:sSup>
                      <m:sSupPr>
                        <m:ctrlPr>
                          <w:rPr>
                            <w:rFonts w:ascii="Cambria Math" w:eastAsiaTheme="minorEastAsia" w:hAnsi="Cambria Math"/>
                            <w:noProof/>
                            <w:sz w:val="20"/>
                            <w:szCs w:val="18"/>
                          </w:rPr>
                        </m:ctrlPr>
                      </m:sSupPr>
                      <m:e>
                        <m:r>
                          <m:rPr>
                            <m:sty m:val="p"/>
                          </m:rPr>
                          <w:rPr>
                            <w:rFonts w:ascii="Cambria Math" w:eastAsiaTheme="minorEastAsia" w:hAnsi="Cambria Math"/>
                            <w:noProof/>
                            <w:sz w:val="20"/>
                            <w:szCs w:val="18"/>
                          </w:rPr>
                          <m:t>s</m:t>
                        </m:r>
                      </m:e>
                      <m:sup>
                        <m:r>
                          <m:rPr>
                            <m:sty m:val="p"/>
                          </m:rPr>
                          <w:rPr>
                            <w:rFonts w:ascii="Cambria Math" w:eastAsiaTheme="minorEastAsia" w:hAnsi="Cambria Math"/>
                            <w:noProof/>
                            <w:sz w:val="20"/>
                            <w:szCs w:val="18"/>
                          </w:rPr>
                          <m:t>'</m:t>
                        </m:r>
                      </m:sup>
                    </m:sSup>
                    <m:r>
                      <m:rPr>
                        <m:sty m:val="p"/>
                      </m:rPr>
                      <w:rPr>
                        <w:rFonts w:ascii="Cambria Math" w:eastAsiaTheme="minorEastAsia" w:hAnsi="Cambria Math"/>
                        <w:noProof/>
                        <w:sz w:val="20"/>
                        <w:szCs w:val="18"/>
                      </w:rPr>
                      <m:t xml:space="preserve"> Equity</m:t>
                    </m:r>
                  </m:den>
                </m:f>
              </m:oMath>
            </m:oMathPara>
          </w:p>
        </w:tc>
        <w:tc>
          <w:tcPr>
            <w:tcW w:w="0" w:type="auto"/>
            <w:vAlign w:val="center"/>
          </w:tcPr>
          <w:p w14:paraId="12F66902" w14:textId="77777777" w:rsidR="0007597B" w:rsidRPr="0007597B" w:rsidRDefault="0007597B" w:rsidP="0007597B">
            <w:pPr>
              <w:spacing w:after="0" w:line="240" w:lineRule="auto"/>
              <w:jc w:val="center"/>
              <w:rPr>
                <w:rFonts w:eastAsiaTheme="minorEastAsia"/>
                <w:noProof/>
                <w:sz w:val="20"/>
                <w:szCs w:val="18"/>
              </w:rPr>
            </w:pPr>
            <w:r w:rsidRPr="0007597B">
              <w:rPr>
                <w:rFonts w:eastAsiaTheme="minorEastAsia"/>
                <w:noProof/>
                <w:sz w:val="20"/>
                <w:szCs w:val="18"/>
              </w:rPr>
              <w:t>Measures profitability of owners’ investment.</w:t>
            </w:r>
          </w:p>
        </w:tc>
      </w:tr>
      <w:tr w:rsidR="0007597B" w:rsidRPr="0007597B" w14:paraId="523DB5CB" w14:textId="77777777" w:rsidTr="0007597B">
        <w:trPr>
          <w:trHeight w:val="1134"/>
        </w:trPr>
        <w:tc>
          <w:tcPr>
            <w:tcW w:w="0" w:type="auto"/>
            <w:vAlign w:val="center"/>
          </w:tcPr>
          <w:p w14:paraId="03FEAB3B" w14:textId="77777777" w:rsidR="0007597B" w:rsidRPr="0007597B" w:rsidRDefault="0007597B" w:rsidP="0007597B">
            <w:pPr>
              <w:spacing w:after="0" w:line="240" w:lineRule="auto"/>
              <w:jc w:val="center"/>
              <w:rPr>
                <w:rFonts w:eastAsiaTheme="minorEastAsia"/>
                <w:noProof/>
                <w:sz w:val="20"/>
                <w:szCs w:val="18"/>
              </w:rPr>
            </w:pPr>
            <w:r w:rsidRPr="0007597B">
              <w:rPr>
                <w:rFonts w:eastAsiaTheme="minorEastAsia"/>
                <w:noProof/>
                <w:sz w:val="20"/>
                <w:szCs w:val="18"/>
              </w:rPr>
              <w:t>Payout Ratio</w:t>
            </w:r>
          </w:p>
        </w:tc>
        <w:tc>
          <w:tcPr>
            <w:tcW w:w="0" w:type="auto"/>
            <w:vAlign w:val="center"/>
          </w:tcPr>
          <w:p w14:paraId="5BFBA526" w14:textId="77777777" w:rsidR="0007597B" w:rsidRPr="0007597B" w:rsidRDefault="00E329C0" w:rsidP="0007597B">
            <w:pPr>
              <w:spacing w:after="0" w:line="240" w:lineRule="auto"/>
              <w:jc w:val="center"/>
              <w:rPr>
                <w:rFonts w:eastAsiaTheme="minorEastAsia"/>
                <w:noProof/>
                <w:sz w:val="20"/>
                <w:szCs w:val="18"/>
              </w:rPr>
            </w:pPr>
            <m:oMathPara>
              <m:oMath>
                <m:f>
                  <m:fPr>
                    <m:ctrlPr>
                      <w:rPr>
                        <w:rFonts w:ascii="Cambria Math" w:eastAsiaTheme="minorEastAsia" w:hAnsi="Cambria Math"/>
                        <w:noProof/>
                        <w:sz w:val="20"/>
                        <w:szCs w:val="18"/>
                      </w:rPr>
                    </m:ctrlPr>
                  </m:fPr>
                  <m:num>
                    <m:r>
                      <m:rPr>
                        <m:sty m:val="p"/>
                      </m:rPr>
                      <w:rPr>
                        <w:rFonts w:ascii="Cambria Math" w:eastAsiaTheme="minorEastAsia" w:hAnsi="Cambria Math"/>
                        <w:noProof/>
                        <w:sz w:val="20"/>
                        <w:szCs w:val="18"/>
                      </w:rPr>
                      <m:t>Cash Dividends</m:t>
                    </m:r>
                  </m:num>
                  <m:den>
                    <m:r>
                      <m:rPr>
                        <m:sty m:val="p"/>
                      </m:rPr>
                      <w:rPr>
                        <w:rFonts w:ascii="Cambria Math" w:eastAsiaTheme="minorEastAsia" w:hAnsi="Cambria Math"/>
                        <w:noProof/>
                        <w:sz w:val="20"/>
                        <w:szCs w:val="18"/>
                      </w:rPr>
                      <m:t>Net Income</m:t>
                    </m:r>
                  </m:den>
                </m:f>
              </m:oMath>
            </m:oMathPara>
          </w:p>
        </w:tc>
        <w:tc>
          <w:tcPr>
            <w:tcW w:w="0" w:type="auto"/>
            <w:vAlign w:val="center"/>
          </w:tcPr>
          <w:p w14:paraId="5FFB9987" w14:textId="77777777" w:rsidR="0007597B" w:rsidRPr="0007597B" w:rsidRDefault="0007597B" w:rsidP="0007597B">
            <w:pPr>
              <w:spacing w:after="0" w:line="240" w:lineRule="auto"/>
              <w:jc w:val="center"/>
              <w:rPr>
                <w:rFonts w:eastAsiaTheme="minorEastAsia"/>
                <w:noProof/>
                <w:sz w:val="20"/>
                <w:szCs w:val="18"/>
              </w:rPr>
            </w:pPr>
            <w:r w:rsidRPr="0007597B">
              <w:rPr>
                <w:rFonts w:eastAsiaTheme="minorEastAsia"/>
                <w:noProof/>
                <w:sz w:val="20"/>
                <w:szCs w:val="18"/>
              </w:rPr>
              <w:t>Measures percentage of earnings distributed in the form of cash dividends.</w:t>
            </w:r>
          </w:p>
        </w:tc>
      </w:tr>
      <w:tr w:rsidR="0007597B" w:rsidRPr="0007597B" w14:paraId="0F2BB1E1" w14:textId="77777777" w:rsidTr="00F40AEA">
        <w:trPr>
          <w:trHeight w:val="567"/>
        </w:trPr>
        <w:tc>
          <w:tcPr>
            <w:tcW w:w="0" w:type="auto"/>
            <w:gridSpan w:val="3"/>
            <w:vAlign w:val="center"/>
          </w:tcPr>
          <w:p w14:paraId="47C5ED41" w14:textId="72955813" w:rsidR="0007597B" w:rsidRPr="0007597B" w:rsidRDefault="0007597B" w:rsidP="0007597B">
            <w:pPr>
              <w:spacing w:after="0" w:line="240" w:lineRule="auto"/>
              <w:jc w:val="center"/>
              <w:rPr>
                <w:rFonts w:eastAsiaTheme="minorEastAsia"/>
                <w:noProof/>
                <w:sz w:val="20"/>
                <w:szCs w:val="18"/>
              </w:rPr>
            </w:pPr>
            <w:r w:rsidRPr="0007597B">
              <w:rPr>
                <w:rFonts w:eastAsiaTheme="minorEastAsia"/>
                <w:noProof/>
                <w:sz w:val="20"/>
                <w:szCs w:val="18"/>
              </w:rPr>
              <w:t>Solvency Ratios</w:t>
            </w:r>
          </w:p>
        </w:tc>
      </w:tr>
      <w:tr w:rsidR="0007597B" w:rsidRPr="0007597B" w14:paraId="3D6E056A" w14:textId="77777777" w:rsidTr="0007597B">
        <w:trPr>
          <w:trHeight w:val="1134"/>
        </w:trPr>
        <w:tc>
          <w:tcPr>
            <w:tcW w:w="0" w:type="auto"/>
            <w:vAlign w:val="center"/>
          </w:tcPr>
          <w:p w14:paraId="1A53C15C" w14:textId="77777777" w:rsidR="0007597B" w:rsidRPr="0007597B" w:rsidRDefault="0007597B" w:rsidP="0007597B">
            <w:pPr>
              <w:spacing w:after="0" w:line="240" w:lineRule="auto"/>
              <w:jc w:val="center"/>
              <w:rPr>
                <w:rFonts w:eastAsiaTheme="minorEastAsia"/>
                <w:noProof/>
                <w:sz w:val="20"/>
                <w:szCs w:val="18"/>
              </w:rPr>
            </w:pPr>
            <w:r w:rsidRPr="0007597B">
              <w:rPr>
                <w:rFonts w:eastAsiaTheme="minorEastAsia"/>
                <w:noProof/>
                <w:sz w:val="20"/>
                <w:szCs w:val="18"/>
              </w:rPr>
              <w:t>Debt to Total Assets Ratio</w:t>
            </w:r>
          </w:p>
        </w:tc>
        <w:tc>
          <w:tcPr>
            <w:tcW w:w="0" w:type="auto"/>
            <w:vAlign w:val="center"/>
          </w:tcPr>
          <w:p w14:paraId="1A2D97E1" w14:textId="77777777" w:rsidR="0007597B" w:rsidRPr="0007597B" w:rsidRDefault="00E329C0" w:rsidP="0007597B">
            <w:pPr>
              <w:spacing w:after="0" w:line="240" w:lineRule="auto"/>
              <w:jc w:val="center"/>
              <w:rPr>
                <w:rFonts w:eastAsiaTheme="minorEastAsia"/>
                <w:noProof/>
                <w:sz w:val="20"/>
                <w:szCs w:val="18"/>
              </w:rPr>
            </w:pPr>
            <m:oMathPara>
              <m:oMath>
                <m:f>
                  <m:fPr>
                    <m:ctrlPr>
                      <w:rPr>
                        <w:rFonts w:ascii="Cambria Math" w:eastAsiaTheme="minorEastAsia" w:hAnsi="Cambria Math"/>
                        <w:noProof/>
                        <w:sz w:val="20"/>
                        <w:szCs w:val="18"/>
                      </w:rPr>
                    </m:ctrlPr>
                  </m:fPr>
                  <m:num>
                    <m:r>
                      <m:rPr>
                        <m:sty m:val="p"/>
                      </m:rPr>
                      <w:rPr>
                        <w:rFonts w:ascii="Cambria Math" w:eastAsiaTheme="minorEastAsia" w:hAnsi="Cambria Math"/>
                        <w:noProof/>
                        <w:sz w:val="20"/>
                        <w:szCs w:val="18"/>
                      </w:rPr>
                      <m:t>Total Debt</m:t>
                    </m:r>
                  </m:num>
                  <m:den>
                    <m:r>
                      <m:rPr>
                        <m:sty m:val="p"/>
                      </m:rPr>
                      <w:rPr>
                        <w:rFonts w:ascii="Cambria Math" w:eastAsiaTheme="minorEastAsia" w:hAnsi="Cambria Math"/>
                        <w:noProof/>
                        <w:sz w:val="20"/>
                        <w:szCs w:val="18"/>
                      </w:rPr>
                      <m:t>Total Assets</m:t>
                    </m:r>
                  </m:den>
                </m:f>
              </m:oMath>
            </m:oMathPara>
          </w:p>
        </w:tc>
        <w:tc>
          <w:tcPr>
            <w:tcW w:w="0" w:type="auto"/>
            <w:vAlign w:val="center"/>
          </w:tcPr>
          <w:p w14:paraId="622841B7" w14:textId="77777777" w:rsidR="0007597B" w:rsidRPr="0007597B" w:rsidRDefault="0007597B" w:rsidP="0007597B">
            <w:pPr>
              <w:spacing w:after="0" w:line="240" w:lineRule="auto"/>
              <w:jc w:val="center"/>
              <w:rPr>
                <w:sz w:val="20"/>
                <w:szCs w:val="18"/>
              </w:rPr>
            </w:pPr>
            <w:r w:rsidRPr="0007597B">
              <w:rPr>
                <w:rFonts w:eastAsiaTheme="minorEastAsia"/>
                <w:noProof/>
                <w:sz w:val="20"/>
                <w:szCs w:val="18"/>
              </w:rPr>
              <w:t>Measures the percentage of total assets provided by creditors.</w:t>
            </w:r>
          </w:p>
        </w:tc>
      </w:tr>
    </w:tbl>
    <w:p w14:paraId="3B93852F" w14:textId="712E706C" w:rsidR="005446D7" w:rsidRPr="0007597B" w:rsidRDefault="005446D7" w:rsidP="0007597B">
      <w:pPr>
        <w:rPr>
          <w:sz w:val="20"/>
          <w:szCs w:val="18"/>
        </w:rPr>
      </w:pPr>
    </w:p>
    <w:sectPr w:rsidR="005446D7" w:rsidRPr="000759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B953D6F3-9897-4EB0-AF42-16A557BE6409}"/>
    <w:embedBold r:id="rId2" w:fontKey="{728E0855-7AF8-40AC-81B2-DA2CE1ADC8B0}"/>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3" w:fontKey="{D0288DD9-7F59-446E-81B6-6E6E943919BC}"/>
    <w:embedItalic r:id="rId4" w:fontKey="{196D5BBC-0F83-4BDA-A853-F6926665BE52}"/>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6BAA"/>
    <w:multiLevelType w:val="hybridMultilevel"/>
    <w:tmpl w:val="DF6607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710F1D"/>
    <w:multiLevelType w:val="hybridMultilevel"/>
    <w:tmpl w:val="ED9E67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EE6DDA"/>
    <w:multiLevelType w:val="hybridMultilevel"/>
    <w:tmpl w:val="A9F46A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0D26C8B"/>
    <w:multiLevelType w:val="hybridMultilevel"/>
    <w:tmpl w:val="2DA217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C466501"/>
    <w:multiLevelType w:val="hybridMultilevel"/>
    <w:tmpl w:val="2B4091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32E5679"/>
    <w:multiLevelType w:val="hybridMultilevel"/>
    <w:tmpl w:val="28302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255BE3"/>
    <w:multiLevelType w:val="hybridMultilevel"/>
    <w:tmpl w:val="F7CE60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2E45A17"/>
    <w:multiLevelType w:val="hybridMultilevel"/>
    <w:tmpl w:val="F15E5A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64870230">
    <w:abstractNumId w:val="0"/>
  </w:num>
  <w:num w:numId="2" w16cid:durableId="1670477644">
    <w:abstractNumId w:val="1"/>
  </w:num>
  <w:num w:numId="3" w16cid:durableId="675617602">
    <w:abstractNumId w:val="3"/>
  </w:num>
  <w:num w:numId="4" w16cid:durableId="209265158">
    <w:abstractNumId w:val="5"/>
  </w:num>
  <w:num w:numId="5" w16cid:durableId="287443460">
    <w:abstractNumId w:val="2"/>
  </w:num>
  <w:num w:numId="6" w16cid:durableId="1392540067">
    <w:abstractNumId w:val="6"/>
  </w:num>
  <w:num w:numId="7" w16cid:durableId="1004089899">
    <w:abstractNumId w:val="4"/>
  </w:num>
  <w:num w:numId="8" w16cid:durableId="13077359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displayBackgroundShape/>
  <w:embedTrueTypeFonts/>
  <w:saveSubsetFonts/>
  <w:proofState w:spelling="clean" w:grammar="clean"/>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F57"/>
    <w:rsid w:val="000151A6"/>
    <w:rsid w:val="0007597B"/>
    <w:rsid w:val="000E1021"/>
    <w:rsid w:val="001C5EB6"/>
    <w:rsid w:val="002679F1"/>
    <w:rsid w:val="003B176B"/>
    <w:rsid w:val="004230C5"/>
    <w:rsid w:val="004C7EA2"/>
    <w:rsid w:val="0052736E"/>
    <w:rsid w:val="005446D7"/>
    <w:rsid w:val="005B4819"/>
    <w:rsid w:val="00640803"/>
    <w:rsid w:val="00684A63"/>
    <w:rsid w:val="006F4F44"/>
    <w:rsid w:val="007B141B"/>
    <w:rsid w:val="007E56DE"/>
    <w:rsid w:val="008B01E0"/>
    <w:rsid w:val="008B72BD"/>
    <w:rsid w:val="0090600A"/>
    <w:rsid w:val="00AD7401"/>
    <w:rsid w:val="00AE5CB7"/>
    <w:rsid w:val="00B128DE"/>
    <w:rsid w:val="00B364AD"/>
    <w:rsid w:val="00BF67E2"/>
    <w:rsid w:val="00CF20E0"/>
    <w:rsid w:val="00D37230"/>
    <w:rsid w:val="00DC1382"/>
    <w:rsid w:val="00DF0E9C"/>
    <w:rsid w:val="00E329C0"/>
    <w:rsid w:val="00ED6883"/>
    <w:rsid w:val="00F84F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09ABE"/>
  <w15:chartTrackingRefBased/>
  <w15:docId w15:val="{219B1C76-B54C-468E-B497-DDC56E235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9C0"/>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E329C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329C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329C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E329C0"/>
    <w:pPr>
      <w:keepNext/>
      <w:keepLines/>
      <w:outlineLvl w:val="3"/>
    </w:pPr>
    <w:rPr>
      <w:rFonts w:eastAsiaTheme="majorEastAsia" w:cstheme="majorBidi"/>
      <w:iCs/>
    </w:rPr>
  </w:style>
  <w:style w:type="character" w:default="1" w:styleId="DefaultParagraphFont">
    <w:name w:val="Default Paragraph Font"/>
    <w:uiPriority w:val="1"/>
    <w:semiHidden/>
    <w:unhideWhenUsed/>
    <w:rsid w:val="00E329C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329C0"/>
  </w:style>
  <w:style w:type="character" w:customStyle="1" w:styleId="Heading1Char">
    <w:name w:val="Heading 1 Char"/>
    <w:basedOn w:val="DefaultParagraphFont"/>
    <w:link w:val="Heading1"/>
    <w:uiPriority w:val="9"/>
    <w:rsid w:val="00E329C0"/>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E329C0"/>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E329C0"/>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E329C0"/>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E329C0"/>
    <w:pPr>
      <w:outlineLvl w:val="9"/>
    </w:pPr>
    <w:rPr>
      <w:b w:val="0"/>
    </w:rPr>
  </w:style>
  <w:style w:type="paragraph" w:styleId="TOC1">
    <w:name w:val="toc 1"/>
    <w:basedOn w:val="Normal"/>
    <w:next w:val="Normal"/>
    <w:autoRedefine/>
    <w:uiPriority w:val="39"/>
    <w:semiHidden/>
    <w:unhideWhenUsed/>
    <w:rsid w:val="00E329C0"/>
  </w:style>
  <w:style w:type="paragraph" w:styleId="TOC2">
    <w:name w:val="toc 2"/>
    <w:basedOn w:val="Normal"/>
    <w:next w:val="Normal"/>
    <w:autoRedefine/>
    <w:uiPriority w:val="39"/>
    <w:unhideWhenUsed/>
    <w:rsid w:val="00E329C0"/>
    <w:pPr>
      <w:ind w:left="238"/>
    </w:pPr>
  </w:style>
  <w:style w:type="paragraph" w:styleId="TOC3">
    <w:name w:val="toc 3"/>
    <w:basedOn w:val="Normal"/>
    <w:next w:val="Normal"/>
    <w:autoRedefine/>
    <w:uiPriority w:val="39"/>
    <w:unhideWhenUsed/>
    <w:rsid w:val="00E329C0"/>
    <w:pPr>
      <w:ind w:left="482"/>
    </w:pPr>
  </w:style>
  <w:style w:type="paragraph" w:styleId="ListParagraph">
    <w:name w:val="List Paragraph"/>
    <w:basedOn w:val="Normal"/>
    <w:uiPriority w:val="34"/>
    <w:qFormat/>
    <w:rsid w:val="008B72BD"/>
    <w:pPr>
      <w:ind w:left="720"/>
      <w:contextualSpacing/>
    </w:pPr>
  </w:style>
  <w:style w:type="character" w:styleId="PlaceholderText">
    <w:name w:val="Placeholder Text"/>
    <w:basedOn w:val="DefaultParagraphFont"/>
    <w:uiPriority w:val="99"/>
    <w:semiHidden/>
    <w:rsid w:val="0090600A"/>
    <w:rPr>
      <w:color w:val="808080"/>
    </w:rPr>
  </w:style>
  <w:style w:type="table" w:styleId="TableGrid">
    <w:name w:val="Table Grid"/>
    <w:basedOn w:val="TableNormal"/>
    <w:uiPriority w:val="39"/>
    <w:rsid w:val="000151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329C0"/>
    <w:rPr>
      <w:b/>
      <w:bCs/>
      <w:sz w:val="32"/>
      <w:szCs w:val="28"/>
    </w:rPr>
  </w:style>
  <w:style w:type="character" w:customStyle="1" w:styleId="TitleChar">
    <w:name w:val="Title Char"/>
    <w:basedOn w:val="DefaultParagraphFont"/>
    <w:link w:val="Title"/>
    <w:uiPriority w:val="10"/>
    <w:rsid w:val="00E329C0"/>
    <w:rPr>
      <w:rFonts w:ascii="Manrope" w:hAnsi="Manrope"/>
      <w:b/>
      <w:bCs/>
      <w:color w:val="FFFFFF" w:themeColor="background1"/>
      <w:sz w:val="32"/>
      <w:szCs w:val="28"/>
    </w:rPr>
  </w:style>
  <w:style w:type="paragraph" w:customStyle="1" w:styleId="Code">
    <w:name w:val="Code"/>
    <w:basedOn w:val="Normal"/>
    <w:link w:val="CodeChar"/>
    <w:qFormat/>
    <w:rsid w:val="00E329C0"/>
    <w:rPr>
      <w:rFonts w:ascii="Victor Mono Medium" w:hAnsi="Victor Mono Medium"/>
      <w:sz w:val="21"/>
      <w:szCs w:val="24"/>
      <w:lang w:val="en-US"/>
    </w:rPr>
  </w:style>
  <w:style w:type="character" w:customStyle="1" w:styleId="CodeChar">
    <w:name w:val="Code Char"/>
    <w:basedOn w:val="DefaultParagraphFont"/>
    <w:link w:val="Code"/>
    <w:rsid w:val="00E329C0"/>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E329C0"/>
    <w:rPr>
      <w:rFonts w:ascii="Victor Mono Medium" w:hAnsi="Victor Mono Medium"/>
      <w:sz w:val="21"/>
    </w:rPr>
  </w:style>
  <w:style w:type="character" w:styleId="Hyperlink">
    <w:name w:val="Hyperlink"/>
    <w:basedOn w:val="DefaultParagraphFont"/>
    <w:uiPriority w:val="99"/>
    <w:unhideWhenUsed/>
    <w:rsid w:val="004C7EA2"/>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C4B9A-FFED-4BD1-BA81-589375F90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Pages>
  <Words>911</Words>
  <Characters>5194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30</cp:revision>
  <dcterms:created xsi:type="dcterms:W3CDTF">2022-01-01T20:06:00Z</dcterms:created>
  <dcterms:modified xsi:type="dcterms:W3CDTF">2022-06-19T17:52:00Z</dcterms:modified>
</cp:coreProperties>
</file>