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2DE71DA3" w14:textId="42040B91" w:rsidR="000350EA" w:rsidRDefault="000350EA" w:rsidP="000350EA">
      <w:pPr>
        <w:pStyle w:val="Title"/>
      </w:pPr>
      <w:r>
        <w:t>Managerial Accounting</w:t>
      </w:r>
    </w:p>
    <w:sdt>
      <w:sdtPr>
        <w:rPr>
          <w:rFonts w:eastAsiaTheme="minorHAnsi" w:cstheme="minorBidi"/>
          <w:sz w:val="24"/>
          <w:szCs w:val="22"/>
        </w:rPr>
        <w:id w:val="-1280172681"/>
        <w:docPartObj>
          <w:docPartGallery w:val="Table of Contents"/>
          <w:docPartUnique/>
        </w:docPartObj>
      </w:sdtPr>
      <w:sdtEndPr>
        <w:rPr>
          <w:b/>
          <w:bCs/>
          <w:noProof/>
        </w:rPr>
      </w:sdtEndPr>
      <w:sdtContent>
        <w:p w14:paraId="182707BA" w14:textId="2B5BE82A" w:rsidR="00FC5D3C" w:rsidRDefault="00FC5D3C">
          <w:pPr>
            <w:pStyle w:val="TOCHeading"/>
          </w:pPr>
          <w:r>
            <w:t>Table of Contents</w:t>
          </w:r>
        </w:p>
        <w:p w14:paraId="1F6A9E00" w14:textId="25F59A4C" w:rsidR="00FC5D3C" w:rsidRDefault="00FC5D3C">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99406480" w:history="1">
            <w:r w:rsidRPr="002F5873">
              <w:rPr>
                <w:rStyle w:val="Hyperlink"/>
                <w:noProof/>
              </w:rPr>
              <w:t>Types of Costs</w:t>
            </w:r>
            <w:r>
              <w:rPr>
                <w:noProof/>
                <w:webHidden/>
              </w:rPr>
              <w:tab/>
            </w:r>
            <w:r>
              <w:rPr>
                <w:noProof/>
                <w:webHidden/>
              </w:rPr>
              <w:fldChar w:fldCharType="begin"/>
            </w:r>
            <w:r>
              <w:rPr>
                <w:noProof/>
                <w:webHidden/>
              </w:rPr>
              <w:instrText xml:space="preserve"> PAGEREF _Toc99406480 \h </w:instrText>
            </w:r>
            <w:r>
              <w:rPr>
                <w:noProof/>
                <w:webHidden/>
              </w:rPr>
            </w:r>
            <w:r>
              <w:rPr>
                <w:noProof/>
                <w:webHidden/>
              </w:rPr>
              <w:fldChar w:fldCharType="separate"/>
            </w:r>
            <w:r>
              <w:rPr>
                <w:noProof/>
                <w:webHidden/>
              </w:rPr>
              <w:t>3</w:t>
            </w:r>
            <w:r>
              <w:rPr>
                <w:noProof/>
                <w:webHidden/>
              </w:rPr>
              <w:fldChar w:fldCharType="end"/>
            </w:r>
          </w:hyperlink>
        </w:p>
        <w:p w14:paraId="583C3AD1" w14:textId="10E16A35" w:rsidR="00FC5D3C" w:rsidRDefault="00F17EDC">
          <w:pPr>
            <w:pStyle w:val="TOC3"/>
            <w:tabs>
              <w:tab w:val="right" w:leader="dot" w:pos="9016"/>
            </w:tabs>
            <w:rPr>
              <w:rFonts w:asciiTheme="minorHAnsi" w:eastAsiaTheme="minorEastAsia" w:hAnsiTheme="minorHAnsi"/>
              <w:noProof/>
              <w:color w:val="auto"/>
              <w:sz w:val="22"/>
              <w:lang w:eastAsia="en-GB"/>
            </w:rPr>
          </w:pPr>
          <w:hyperlink w:anchor="_Toc99406481" w:history="1">
            <w:r w:rsidR="00FC5D3C" w:rsidRPr="002F5873">
              <w:rPr>
                <w:rStyle w:val="Hyperlink"/>
                <w:noProof/>
              </w:rPr>
              <w:t>Manufacturing Costs</w:t>
            </w:r>
            <w:r w:rsidR="00FC5D3C">
              <w:rPr>
                <w:noProof/>
                <w:webHidden/>
              </w:rPr>
              <w:tab/>
            </w:r>
            <w:r w:rsidR="00FC5D3C">
              <w:rPr>
                <w:noProof/>
                <w:webHidden/>
              </w:rPr>
              <w:fldChar w:fldCharType="begin"/>
            </w:r>
            <w:r w:rsidR="00FC5D3C">
              <w:rPr>
                <w:noProof/>
                <w:webHidden/>
              </w:rPr>
              <w:instrText xml:space="preserve"> PAGEREF _Toc99406481 \h </w:instrText>
            </w:r>
            <w:r w:rsidR="00FC5D3C">
              <w:rPr>
                <w:noProof/>
                <w:webHidden/>
              </w:rPr>
            </w:r>
            <w:r w:rsidR="00FC5D3C">
              <w:rPr>
                <w:noProof/>
                <w:webHidden/>
              </w:rPr>
              <w:fldChar w:fldCharType="separate"/>
            </w:r>
            <w:r w:rsidR="00FC5D3C">
              <w:rPr>
                <w:noProof/>
                <w:webHidden/>
              </w:rPr>
              <w:t>3</w:t>
            </w:r>
            <w:r w:rsidR="00FC5D3C">
              <w:rPr>
                <w:noProof/>
                <w:webHidden/>
              </w:rPr>
              <w:fldChar w:fldCharType="end"/>
            </w:r>
          </w:hyperlink>
        </w:p>
        <w:p w14:paraId="19A95572" w14:textId="46218FE1" w:rsidR="00FC5D3C" w:rsidRDefault="00F17EDC">
          <w:pPr>
            <w:pStyle w:val="TOC3"/>
            <w:tabs>
              <w:tab w:val="right" w:leader="dot" w:pos="9016"/>
            </w:tabs>
            <w:rPr>
              <w:rFonts w:asciiTheme="minorHAnsi" w:eastAsiaTheme="minorEastAsia" w:hAnsiTheme="minorHAnsi"/>
              <w:noProof/>
              <w:color w:val="auto"/>
              <w:sz w:val="22"/>
              <w:lang w:eastAsia="en-GB"/>
            </w:rPr>
          </w:pPr>
          <w:hyperlink w:anchor="_Toc99406482" w:history="1">
            <w:r w:rsidR="00FC5D3C" w:rsidRPr="002F5873">
              <w:rPr>
                <w:rStyle w:val="Hyperlink"/>
                <w:noProof/>
              </w:rPr>
              <w:t>Administrative Costs</w:t>
            </w:r>
            <w:r w:rsidR="00FC5D3C">
              <w:rPr>
                <w:noProof/>
                <w:webHidden/>
              </w:rPr>
              <w:tab/>
            </w:r>
            <w:r w:rsidR="00FC5D3C">
              <w:rPr>
                <w:noProof/>
                <w:webHidden/>
              </w:rPr>
              <w:fldChar w:fldCharType="begin"/>
            </w:r>
            <w:r w:rsidR="00FC5D3C">
              <w:rPr>
                <w:noProof/>
                <w:webHidden/>
              </w:rPr>
              <w:instrText xml:space="preserve"> PAGEREF _Toc99406482 \h </w:instrText>
            </w:r>
            <w:r w:rsidR="00FC5D3C">
              <w:rPr>
                <w:noProof/>
                <w:webHidden/>
              </w:rPr>
            </w:r>
            <w:r w:rsidR="00FC5D3C">
              <w:rPr>
                <w:noProof/>
                <w:webHidden/>
              </w:rPr>
              <w:fldChar w:fldCharType="separate"/>
            </w:r>
            <w:r w:rsidR="00FC5D3C">
              <w:rPr>
                <w:noProof/>
                <w:webHidden/>
              </w:rPr>
              <w:t>4</w:t>
            </w:r>
            <w:r w:rsidR="00FC5D3C">
              <w:rPr>
                <w:noProof/>
                <w:webHidden/>
              </w:rPr>
              <w:fldChar w:fldCharType="end"/>
            </w:r>
          </w:hyperlink>
        </w:p>
        <w:p w14:paraId="103FB103" w14:textId="6C29B751" w:rsidR="00FC5D3C" w:rsidRDefault="00F17EDC">
          <w:pPr>
            <w:pStyle w:val="TOC3"/>
            <w:tabs>
              <w:tab w:val="right" w:leader="dot" w:pos="9016"/>
            </w:tabs>
            <w:rPr>
              <w:rFonts w:asciiTheme="minorHAnsi" w:eastAsiaTheme="minorEastAsia" w:hAnsiTheme="minorHAnsi"/>
              <w:noProof/>
              <w:color w:val="auto"/>
              <w:sz w:val="22"/>
              <w:lang w:eastAsia="en-GB"/>
            </w:rPr>
          </w:pPr>
          <w:hyperlink w:anchor="_Toc99406483" w:history="1">
            <w:r w:rsidR="00FC5D3C" w:rsidRPr="002F5873">
              <w:rPr>
                <w:rStyle w:val="Hyperlink"/>
                <w:noProof/>
              </w:rPr>
              <w:t>Product Costs</w:t>
            </w:r>
            <w:r w:rsidR="00FC5D3C">
              <w:rPr>
                <w:noProof/>
                <w:webHidden/>
              </w:rPr>
              <w:tab/>
            </w:r>
            <w:r w:rsidR="00FC5D3C">
              <w:rPr>
                <w:noProof/>
                <w:webHidden/>
              </w:rPr>
              <w:fldChar w:fldCharType="begin"/>
            </w:r>
            <w:r w:rsidR="00FC5D3C">
              <w:rPr>
                <w:noProof/>
                <w:webHidden/>
              </w:rPr>
              <w:instrText xml:space="preserve"> PAGEREF _Toc99406483 \h </w:instrText>
            </w:r>
            <w:r w:rsidR="00FC5D3C">
              <w:rPr>
                <w:noProof/>
                <w:webHidden/>
              </w:rPr>
            </w:r>
            <w:r w:rsidR="00FC5D3C">
              <w:rPr>
                <w:noProof/>
                <w:webHidden/>
              </w:rPr>
              <w:fldChar w:fldCharType="separate"/>
            </w:r>
            <w:r w:rsidR="00FC5D3C">
              <w:rPr>
                <w:noProof/>
                <w:webHidden/>
              </w:rPr>
              <w:t>4</w:t>
            </w:r>
            <w:r w:rsidR="00FC5D3C">
              <w:rPr>
                <w:noProof/>
                <w:webHidden/>
              </w:rPr>
              <w:fldChar w:fldCharType="end"/>
            </w:r>
          </w:hyperlink>
        </w:p>
        <w:p w14:paraId="76767536" w14:textId="6BCB0C7B" w:rsidR="00FC5D3C" w:rsidRDefault="00F17EDC">
          <w:pPr>
            <w:pStyle w:val="TOC3"/>
            <w:tabs>
              <w:tab w:val="right" w:leader="dot" w:pos="9016"/>
            </w:tabs>
            <w:rPr>
              <w:rFonts w:asciiTheme="minorHAnsi" w:eastAsiaTheme="minorEastAsia" w:hAnsiTheme="minorHAnsi"/>
              <w:noProof/>
              <w:color w:val="auto"/>
              <w:sz w:val="22"/>
              <w:lang w:eastAsia="en-GB"/>
            </w:rPr>
          </w:pPr>
          <w:hyperlink w:anchor="_Toc99406484" w:history="1">
            <w:r w:rsidR="00FC5D3C" w:rsidRPr="002F5873">
              <w:rPr>
                <w:rStyle w:val="Hyperlink"/>
                <w:noProof/>
              </w:rPr>
              <w:t>Miscellaneous Costs</w:t>
            </w:r>
            <w:r w:rsidR="00FC5D3C">
              <w:rPr>
                <w:noProof/>
                <w:webHidden/>
              </w:rPr>
              <w:tab/>
            </w:r>
            <w:r w:rsidR="00FC5D3C">
              <w:rPr>
                <w:noProof/>
                <w:webHidden/>
              </w:rPr>
              <w:fldChar w:fldCharType="begin"/>
            </w:r>
            <w:r w:rsidR="00FC5D3C">
              <w:rPr>
                <w:noProof/>
                <w:webHidden/>
              </w:rPr>
              <w:instrText xml:space="preserve"> PAGEREF _Toc99406484 \h </w:instrText>
            </w:r>
            <w:r w:rsidR="00FC5D3C">
              <w:rPr>
                <w:noProof/>
                <w:webHidden/>
              </w:rPr>
            </w:r>
            <w:r w:rsidR="00FC5D3C">
              <w:rPr>
                <w:noProof/>
                <w:webHidden/>
              </w:rPr>
              <w:fldChar w:fldCharType="separate"/>
            </w:r>
            <w:r w:rsidR="00FC5D3C">
              <w:rPr>
                <w:noProof/>
                <w:webHidden/>
              </w:rPr>
              <w:t>5</w:t>
            </w:r>
            <w:r w:rsidR="00FC5D3C">
              <w:rPr>
                <w:noProof/>
                <w:webHidden/>
              </w:rPr>
              <w:fldChar w:fldCharType="end"/>
            </w:r>
          </w:hyperlink>
        </w:p>
        <w:p w14:paraId="397B9081" w14:textId="1BBAF4DF" w:rsidR="00FC5D3C" w:rsidRDefault="00F17EDC">
          <w:pPr>
            <w:pStyle w:val="TOC3"/>
            <w:tabs>
              <w:tab w:val="right" w:leader="dot" w:pos="9016"/>
            </w:tabs>
            <w:rPr>
              <w:rFonts w:asciiTheme="minorHAnsi" w:eastAsiaTheme="minorEastAsia" w:hAnsiTheme="minorHAnsi"/>
              <w:noProof/>
              <w:color w:val="auto"/>
              <w:sz w:val="22"/>
              <w:lang w:eastAsia="en-GB"/>
            </w:rPr>
          </w:pPr>
          <w:hyperlink w:anchor="_Toc99406485" w:history="1">
            <w:r w:rsidR="00FC5D3C" w:rsidRPr="002F5873">
              <w:rPr>
                <w:rStyle w:val="Hyperlink"/>
                <w:noProof/>
              </w:rPr>
              <w:t>Fixed and Variable Costs</w:t>
            </w:r>
            <w:r w:rsidR="00FC5D3C">
              <w:rPr>
                <w:noProof/>
                <w:webHidden/>
              </w:rPr>
              <w:tab/>
            </w:r>
            <w:r w:rsidR="00FC5D3C">
              <w:rPr>
                <w:noProof/>
                <w:webHidden/>
              </w:rPr>
              <w:fldChar w:fldCharType="begin"/>
            </w:r>
            <w:r w:rsidR="00FC5D3C">
              <w:rPr>
                <w:noProof/>
                <w:webHidden/>
              </w:rPr>
              <w:instrText xml:space="preserve"> PAGEREF _Toc99406485 \h </w:instrText>
            </w:r>
            <w:r w:rsidR="00FC5D3C">
              <w:rPr>
                <w:noProof/>
                <w:webHidden/>
              </w:rPr>
            </w:r>
            <w:r w:rsidR="00FC5D3C">
              <w:rPr>
                <w:noProof/>
                <w:webHidden/>
              </w:rPr>
              <w:fldChar w:fldCharType="separate"/>
            </w:r>
            <w:r w:rsidR="00FC5D3C">
              <w:rPr>
                <w:noProof/>
                <w:webHidden/>
              </w:rPr>
              <w:t>5</w:t>
            </w:r>
            <w:r w:rsidR="00FC5D3C">
              <w:rPr>
                <w:noProof/>
                <w:webHidden/>
              </w:rPr>
              <w:fldChar w:fldCharType="end"/>
            </w:r>
          </w:hyperlink>
        </w:p>
        <w:p w14:paraId="2C601F3F" w14:textId="5279F294" w:rsidR="00FC5D3C" w:rsidRDefault="00FC5D3C">
          <w:r>
            <w:rPr>
              <w:b/>
              <w:bCs/>
              <w:noProof/>
            </w:rPr>
            <w:fldChar w:fldCharType="end"/>
          </w:r>
        </w:p>
      </w:sdtContent>
    </w:sdt>
    <w:p w14:paraId="303C8AFA" w14:textId="5DC2151A" w:rsidR="00FC5D3C" w:rsidRDefault="00FC5D3C">
      <w:pPr>
        <w:spacing w:after="160" w:line="259" w:lineRule="auto"/>
        <w:jc w:val="left"/>
      </w:pPr>
      <w:r>
        <w:br w:type="page"/>
      </w:r>
    </w:p>
    <w:p w14:paraId="373CCA16" w14:textId="09912D3E" w:rsidR="000350EA" w:rsidRDefault="000350EA" w:rsidP="000350EA">
      <w:r>
        <w:lastRenderedPageBreak/>
        <w:t xml:space="preserve">We have previously touched upon </w:t>
      </w:r>
      <w:r w:rsidRPr="0035463D">
        <w:rPr>
          <w:b/>
          <w:bCs/>
          <w:color w:val="66D9EE" w:themeColor="accent3"/>
        </w:rPr>
        <w:t>management accounting</w:t>
      </w:r>
      <w:r>
        <w:t xml:space="preserve">, which is for </w:t>
      </w:r>
      <w:r w:rsidRPr="0035463D">
        <w:rPr>
          <w:b/>
          <w:bCs/>
          <w:color w:val="66D9EE" w:themeColor="accent3"/>
        </w:rPr>
        <w:t>internal use</w:t>
      </w:r>
      <w:r>
        <w:t xml:space="preserve"> by officers, managers, etc. Management accounting is used to determine things like the selling price o</w:t>
      </w:r>
      <w:r w:rsidR="00C14F81">
        <w:t>f</w:t>
      </w:r>
      <w:r>
        <w:t xml:space="preserve"> a product, whether to create the product from scratch or buy it from somewhere and resell, etc.</w:t>
      </w:r>
    </w:p>
    <w:p w14:paraId="41434226" w14:textId="0445E7A9" w:rsidR="000350EA" w:rsidRDefault="000350EA" w:rsidP="000350EA">
      <w:r>
        <w:t>There are several differences between financial accounting and management accounting, as shown below:</w:t>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122"/>
        <w:gridCol w:w="4186"/>
        <w:gridCol w:w="3698"/>
      </w:tblGrid>
      <w:tr w:rsidR="000350EA" w:rsidRPr="000350EA" w14:paraId="0D7A7194" w14:textId="77777777" w:rsidTr="000350EA">
        <w:trPr>
          <w:trHeight w:val="567"/>
        </w:trPr>
        <w:tc>
          <w:tcPr>
            <w:tcW w:w="0" w:type="auto"/>
            <w:vAlign w:val="center"/>
          </w:tcPr>
          <w:p w14:paraId="463E7BB6" w14:textId="77777777" w:rsidR="000350EA" w:rsidRPr="000350EA" w:rsidRDefault="000350EA" w:rsidP="000350EA">
            <w:pPr>
              <w:spacing w:after="0" w:line="240" w:lineRule="auto"/>
              <w:jc w:val="center"/>
              <w:rPr>
                <w:sz w:val="20"/>
                <w:szCs w:val="18"/>
              </w:rPr>
            </w:pPr>
          </w:p>
        </w:tc>
        <w:tc>
          <w:tcPr>
            <w:tcW w:w="0" w:type="auto"/>
            <w:vAlign w:val="center"/>
          </w:tcPr>
          <w:p w14:paraId="661CBE65" w14:textId="77777777" w:rsidR="000350EA" w:rsidRPr="0035463D" w:rsidRDefault="000350EA" w:rsidP="000350EA">
            <w:pPr>
              <w:spacing w:after="0" w:line="240" w:lineRule="auto"/>
              <w:jc w:val="center"/>
              <w:rPr>
                <w:b/>
                <w:bCs/>
                <w:sz w:val="20"/>
                <w:szCs w:val="18"/>
              </w:rPr>
            </w:pPr>
            <w:r w:rsidRPr="0035463D">
              <w:rPr>
                <w:b/>
                <w:bCs/>
                <w:sz w:val="20"/>
                <w:szCs w:val="18"/>
              </w:rPr>
              <w:t>Financial Accounting</w:t>
            </w:r>
          </w:p>
        </w:tc>
        <w:tc>
          <w:tcPr>
            <w:tcW w:w="0" w:type="auto"/>
            <w:vAlign w:val="center"/>
          </w:tcPr>
          <w:p w14:paraId="77C11B41" w14:textId="77777777" w:rsidR="000350EA" w:rsidRPr="0035463D" w:rsidRDefault="000350EA" w:rsidP="000350EA">
            <w:pPr>
              <w:spacing w:after="0" w:line="240" w:lineRule="auto"/>
              <w:jc w:val="center"/>
              <w:rPr>
                <w:b/>
                <w:bCs/>
                <w:sz w:val="20"/>
                <w:szCs w:val="18"/>
              </w:rPr>
            </w:pPr>
            <w:r w:rsidRPr="0035463D">
              <w:rPr>
                <w:b/>
                <w:bCs/>
                <w:sz w:val="20"/>
                <w:szCs w:val="18"/>
              </w:rPr>
              <w:t>Management Accounting</w:t>
            </w:r>
          </w:p>
        </w:tc>
      </w:tr>
      <w:tr w:rsidR="000350EA" w:rsidRPr="000350EA" w14:paraId="74EAE449" w14:textId="77777777" w:rsidTr="000350EA">
        <w:trPr>
          <w:trHeight w:val="567"/>
        </w:trPr>
        <w:tc>
          <w:tcPr>
            <w:tcW w:w="0" w:type="auto"/>
            <w:vAlign w:val="center"/>
          </w:tcPr>
          <w:p w14:paraId="3773B6F1" w14:textId="49B06C37" w:rsidR="000350EA" w:rsidRPr="000350EA" w:rsidRDefault="000350EA" w:rsidP="000350EA">
            <w:pPr>
              <w:spacing w:after="0" w:line="240" w:lineRule="auto"/>
              <w:jc w:val="center"/>
              <w:rPr>
                <w:sz w:val="20"/>
                <w:szCs w:val="18"/>
              </w:rPr>
            </w:pPr>
            <w:r>
              <w:rPr>
                <w:sz w:val="20"/>
                <w:szCs w:val="18"/>
              </w:rPr>
              <w:t>Users</w:t>
            </w:r>
          </w:p>
        </w:tc>
        <w:tc>
          <w:tcPr>
            <w:tcW w:w="0" w:type="auto"/>
            <w:vAlign w:val="center"/>
          </w:tcPr>
          <w:p w14:paraId="6D3E07C0" w14:textId="5B69EAF5" w:rsidR="000350EA" w:rsidRPr="000350EA" w:rsidRDefault="000350EA" w:rsidP="000350EA">
            <w:pPr>
              <w:spacing w:after="0" w:line="240" w:lineRule="auto"/>
              <w:jc w:val="left"/>
              <w:rPr>
                <w:sz w:val="20"/>
                <w:szCs w:val="18"/>
              </w:rPr>
            </w:pPr>
            <w:r>
              <w:rPr>
                <w:sz w:val="20"/>
                <w:szCs w:val="18"/>
              </w:rPr>
              <w:t>External</w:t>
            </w:r>
          </w:p>
        </w:tc>
        <w:tc>
          <w:tcPr>
            <w:tcW w:w="0" w:type="auto"/>
            <w:vAlign w:val="center"/>
          </w:tcPr>
          <w:p w14:paraId="7FBC4689" w14:textId="5686AA5C" w:rsidR="000350EA" w:rsidRPr="000350EA" w:rsidRDefault="000350EA" w:rsidP="000350EA">
            <w:pPr>
              <w:spacing w:after="0" w:line="240" w:lineRule="auto"/>
              <w:jc w:val="left"/>
              <w:rPr>
                <w:sz w:val="20"/>
                <w:szCs w:val="18"/>
              </w:rPr>
            </w:pPr>
            <w:r>
              <w:rPr>
                <w:sz w:val="20"/>
                <w:szCs w:val="18"/>
              </w:rPr>
              <w:t>Internal</w:t>
            </w:r>
          </w:p>
        </w:tc>
      </w:tr>
      <w:tr w:rsidR="000350EA" w:rsidRPr="000350EA" w14:paraId="0AC24331" w14:textId="77777777" w:rsidTr="000350EA">
        <w:trPr>
          <w:trHeight w:val="567"/>
        </w:trPr>
        <w:tc>
          <w:tcPr>
            <w:tcW w:w="0" w:type="auto"/>
            <w:vAlign w:val="center"/>
          </w:tcPr>
          <w:p w14:paraId="2D63EB2C" w14:textId="5B38F2E8" w:rsidR="000350EA" w:rsidRPr="000350EA" w:rsidRDefault="000350EA" w:rsidP="000350EA">
            <w:pPr>
              <w:spacing w:after="0" w:line="240" w:lineRule="auto"/>
              <w:jc w:val="center"/>
              <w:rPr>
                <w:sz w:val="20"/>
                <w:szCs w:val="18"/>
              </w:rPr>
            </w:pPr>
            <w:r>
              <w:rPr>
                <w:sz w:val="20"/>
                <w:szCs w:val="18"/>
              </w:rPr>
              <w:t>Timespan</w:t>
            </w:r>
          </w:p>
        </w:tc>
        <w:tc>
          <w:tcPr>
            <w:tcW w:w="0" w:type="auto"/>
            <w:vAlign w:val="center"/>
          </w:tcPr>
          <w:p w14:paraId="6D41B77F" w14:textId="22A4488F" w:rsidR="000350EA" w:rsidRPr="000350EA" w:rsidRDefault="000350EA" w:rsidP="000350EA">
            <w:pPr>
              <w:spacing w:after="0" w:line="240" w:lineRule="auto"/>
              <w:jc w:val="left"/>
              <w:rPr>
                <w:sz w:val="20"/>
                <w:szCs w:val="18"/>
              </w:rPr>
            </w:pPr>
            <w:proofErr w:type="gramStart"/>
            <w:r w:rsidRPr="000350EA">
              <w:rPr>
                <w:sz w:val="20"/>
                <w:szCs w:val="18"/>
              </w:rPr>
              <w:t>Usually</w:t>
            </w:r>
            <w:proofErr w:type="gramEnd"/>
            <w:r w:rsidRPr="000350EA">
              <w:rPr>
                <w:sz w:val="20"/>
                <w:szCs w:val="18"/>
              </w:rPr>
              <w:t xml:space="preserve"> annual</w:t>
            </w:r>
          </w:p>
        </w:tc>
        <w:tc>
          <w:tcPr>
            <w:tcW w:w="0" w:type="auto"/>
            <w:vAlign w:val="center"/>
          </w:tcPr>
          <w:p w14:paraId="0D296C0A" w14:textId="16C80922" w:rsidR="000350EA" w:rsidRPr="000350EA" w:rsidRDefault="000350EA" w:rsidP="000350EA">
            <w:pPr>
              <w:spacing w:after="0" w:line="240" w:lineRule="auto"/>
              <w:jc w:val="left"/>
              <w:rPr>
                <w:sz w:val="20"/>
                <w:szCs w:val="18"/>
              </w:rPr>
            </w:pPr>
            <w:r w:rsidRPr="000350EA">
              <w:rPr>
                <w:sz w:val="20"/>
                <w:szCs w:val="18"/>
              </w:rPr>
              <w:t>Not fixed; Can be 1 hour or 15 years</w:t>
            </w:r>
          </w:p>
        </w:tc>
      </w:tr>
      <w:tr w:rsidR="000350EA" w:rsidRPr="000350EA" w14:paraId="2854B99C" w14:textId="77777777" w:rsidTr="000350EA">
        <w:trPr>
          <w:trHeight w:val="850"/>
        </w:trPr>
        <w:tc>
          <w:tcPr>
            <w:tcW w:w="0" w:type="auto"/>
            <w:vAlign w:val="center"/>
          </w:tcPr>
          <w:p w14:paraId="5998553D" w14:textId="625E1038" w:rsidR="000350EA" w:rsidRPr="000350EA" w:rsidRDefault="000350EA" w:rsidP="000350EA">
            <w:pPr>
              <w:spacing w:after="0" w:line="240" w:lineRule="auto"/>
              <w:jc w:val="center"/>
              <w:rPr>
                <w:sz w:val="20"/>
                <w:szCs w:val="18"/>
              </w:rPr>
            </w:pPr>
            <w:r>
              <w:rPr>
                <w:sz w:val="20"/>
                <w:szCs w:val="18"/>
              </w:rPr>
              <w:t>Emphasis</w:t>
            </w:r>
          </w:p>
        </w:tc>
        <w:tc>
          <w:tcPr>
            <w:tcW w:w="0" w:type="auto"/>
            <w:vAlign w:val="center"/>
          </w:tcPr>
          <w:p w14:paraId="440AE5F8" w14:textId="61415CEB" w:rsidR="000350EA" w:rsidRPr="000350EA" w:rsidRDefault="000350EA" w:rsidP="000350EA">
            <w:pPr>
              <w:spacing w:after="0" w:line="240" w:lineRule="auto"/>
              <w:jc w:val="left"/>
              <w:rPr>
                <w:sz w:val="20"/>
                <w:szCs w:val="18"/>
              </w:rPr>
            </w:pPr>
            <w:r w:rsidRPr="000350EA">
              <w:rPr>
                <w:sz w:val="20"/>
                <w:szCs w:val="18"/>
              </w:rPr>
              <w:t>Past-oriented</w:t>
            </w:r>
            <w:r>
              <w:rPr>
                <w:sz w:val="20"/>
                <w:szCs w:val="18"/>
              </w:rPr>
              <w:t>, meaning we concentrate on past events</w:t>
            </w:r>
          </w:p>
        </w:tc>
        <w:tc>
          <w:tcPr>
            <w:tcW w:w="0" w:type="auto"/>
            <w:vAlign w:val="center"/>
          </w:tcPr>
          <w:p w14:paraId="712528A4" w14:textId="793B1D2B" w:rsidR="000350EA" w:rsidRPr="000350EA" w:rsidRDefault="000350EA" w:rsidP="000350EA">
            <w:pPr>
              <w:spacing w:after="0" w:line="240" w:lineRule="auto"/>
              <w:jc w:val="left"/>
              <w:rPr>
                <w:sz w:val="20"/>
                <w:szCs w:val="18"/>
              </w:rPr>
            </w:pPr>
            <w:r w:rsidRPr="000350EA">
              <w:rPr>
                <w:sz w:val="20"/>
                <w:szCs w:val="18"/>
              </w:rPr>
              <w:t>Future-oriented</w:t>
            </w:r>
            <w:r>
              <w:rPr>
                <w:sz w:val="20"/>
                <w:szCs w:val="18"/>
              </w:rPr>
              <w:t>, meaning we concentrate on future events</w:t>
            </w:r>
          </w:p>
        </w:tc>
      </w:tr>
      <w:tr w:rsidR="000350EA" w:rsidRPr="000350EA" w14:paraId="5695046F" w14:textId="77777777" w:rsidTr="000350EA">
        <w:trPr>
          <w:trHeight w:val="850"/>
        </w:trPr>
        <w:tc>
          <w:tcPr>
            <w:tcW w:w="0" w:type="auto"/>
            <w:vAlign w:val="center"/>
          </w:tcPr>
          <w:p w14:paraId="55615AC1" w14:textId="53E8C913" w:rsidR="000350EA" w:rsidRPr="000350EA" w:rsidRDefault="000350EA" w:rsidP="000350EA">
            <w:pPr>
              <w:spacing w:after="0" w:line="240" w:lineRule="auto"/>
              <w:jc w:val="center"/>
              <w:rPr>
                <w:sz w:val="20"/>
                <w:szCs w:val="18"/>
              </w:rPr>
            </w:pPr>
            <w:r>
              <w:rPr>
                <w:sz w:val="20"/>
                <w:szCs w:val="18"/>
              </w:rPr>
              <w:t>Focus</w:t>
            </w:r>
          </w:p>
        </w:tc>
        <w:tc>
          <w:tcPr>
            <w:tcW w:w="0" w:type="auto"/>
            <w:vAlign w:val="center"/>
          </w:tcPr>
          <w:p w14:paraId="12E38A17" w14:textId="77777777" w:rsidR="000350EA" w:rsidRPr="000350EA" w:rsidRDefault="000350EA" w:rsidP="000350EA">
            <w:pPr>
              <w:spacing w:after="0" w:line="240" w:lineRule="auto"/>
              <w:jc w:val="left"/>
              <w:rPr>
                <w:sz w:val="20"/>
                <w:szCs w:val="18"/>
              </w:rPr>
            </w:pPr>
            <w:r w:rsidRPr="000350EA">
              <w:rPr>
                <w:sz w:val="20"/>
                <w:szCs w:val="18"/>
              </w:rPr>
              <w:t>For the entire company</w:t>
            </w:r>
          </w:p>
        </w:tc>
        <w:tc>
          <w:tcPr>
            <w:tcW w:w="0" w:type="auto"/>
            <w:vAlign w:val="center"/>
          </w:tcPr>
          <w:p w14:paraId="3E353E04" w14:textId="77777777" w:rsidR="000350EA" w:rsidRPr="000350EA" w:rsidRDefault="000350EA" w:rsidP="000350EA">
            <w:pPr>
              <w:spacing w:after="0" w:line="240" w:lineRule="auto"/>
              <w:jc w:val="left"/>
              <w:rPr>
                <w:sz w:val="20"/>
                <w:szCs w:val="18"/>
              </w:rPr>
            </w:pPr>
            <w:r w:rsidRPr="000350EA">
              <w:rPr>
                <w:sz w:val="20"/>
                <w:szCs w:val="18"/>
              </w:rPr>
              <w:t>Can be for the entire company or for a particular department</w:t>
            </w:r>
          </w:p>
        </w:tc>
      </w:tr>
      <w:tr w:rsidR="000350EA" w:rsidRPr="000350EA" w14:paraId="03F4501B" w14:textId="77777777" w:rsidTr="000350EA">
        <w:trPr>
          <w:trHeight w:val="850"/>
        </w:trPr>
        <w:tc>
          <w:tcPr>
            <w:tcW w:w="0" w:type="auto"/>
            <w:vAlign w:val="center"/>
          </w:tcPr>
          <w:p w14:paraId="2DD80033" w14:textId="77777777" w:rsidR="000350EA" w:rsidRPr="000350EA" w:rsidRDefault="000350EA" w:rsidP="000350EA">
            <w:pPr>
              <w:spacing w:after="0" w:line="240" w:lineRule="auto"/>
              <w:jc w:val="center"/>
              <w:rPr>
                <w:sz w:val="20"/>
                <w:szCs w:val="18"/>
              </w:rPr>
            </w:pPr>
            <w:r w:rsidRPr="000350EA">
              <w:rPr>
                <w:sz w:val="20"/>
                <w:szCs w:val="18"/>
              </w:rPr>
              <w:t>Format</w:t>
            </w:r>
          </w:p>
        </w:tc>
        <w:tc>
          <w:tcPr>
            <w:tcW w:w="0" w:type="auto"/>
            <w:vAlign w:val="center"/>
          </w:tcPr>
          <w:p w14:paraId="528C7141" w14:textId="77F9C62E" w:rsidR="000350EA" w:rsidRPr="000350EA" w:rsidRDefault="000350EA" w:rsidP="000350EA">
            <w:pPr>
              <w:spacing w:after="0" w:line="240" w:lineRule="auto"/>
              <w:jc w:val="left"/>
              <w:rPr>
                <w:sz w:val="20"/>
                <w:szCs w:val="18"/>
              </w:rPr>
            </w:pPr>
            <w:r w:rsidRPr="000350EA">
              <w:rPr>
                <w:sz w:val="20"/>
                <w:szCs w:val="18"/>
              </w:rPr>
              <w:t>Must follow format specified by company or country</w:t>
            </w:r>
            <w:r>
              <w:rPr>
                <w:sz w:val="20"/>
                <w:szCs w:val="18"/>
              </w:rPr>
              <w:t xml:space="preserve"> (</w:t>
            </w:r>
            <w:proofErr w:type="gramStart"/>
            <w:r>
              <w:rPr>
                <w:sz w:val="20"/>
                <w:szCs w:val="18"/>
              </w:rPr>
              <w:t>e.g.</w:t>
            </w:r>
            <w:proofErr w:type="gramEnd"/>
            <w:r>
              <w:rPr>
                <w:sz w:val="20"/>
                <w:szCs w:val="18"/>
              </w:rPr>
              <w:t xml:space="preserve"> GAAP for USA)</w:t>
            </w:r>
          </w:p>
        </w:tc>
        <w:tc>
          <w:tcPr>
            <w:tcW w:w="0" w:type="auto"/>
            <w:vAlign w:val="center"/>
          </w:tcPr>
          <w:p w14:paraId="70E1A473" w14:textId="77777777" w:rsidR="000350EA" w:rsidRPr="000350EA" w:rsidRDefault="000350EA" w:rsidP="000350EA">
            <w:pPr>
              <w:spacing w:after="0" w:line="240" w:lineRule="auto"/>
              <w:jc w:val="left"/>
              <w:rPr>
                <w:sz w:val="20"/>
                <w:szCs w:val="18"/>
              </w:rPr>
            </w:pPr>
            <w:r w:rsidRPr="000350EA">
              <w:rPr>
                <w:sz w:val="20"/>
                <w:szCs w:val="18"/>
              </w:rPr>
              <w:t>Not fixed</w:t>
            </w:r>
          </w:p>
        </w:tc>
      </w:tr>
    </w:tbl>
    <w:p w14:paraId="42788EB4" w14:textId="7C75415D" w:rsidR="000350EA" w:rsidRDefault="000350EA" w:rsidP="00D37230">
      <w:pPr>
        <w:rPr>
          <w:szCs w:val="24"/>
        </w:rPr>
      </w:pPr>
    </w:p>
    <w:p w14:paraId="39598C50" w14:textId="77777777" w:rsidR="000350EA" w:rsidRDefault="000350EA">
      <w:pPr>
        <w:spacing w:after="160" w:line="259" w:lineRule="auto"/>
        <w:jc w:val="left"/>
        <w:rPr>
          <w:szCs w:val="24"/>
        </w:rPr>
      </w:pPr>
      <w:r>
        <w:rPr>
          <w:szCs w:val="24"/>
        </w:rPr>
        <w:br w:type="page"/>
      </w:r>
    </w:p>
    <w:p w14:paraId="36494B93" w14:textId="6509E1D5" w:rsidR="000350EA" w:rsidRDefault="000350EA" w:rsidP="000350EA">
      <w:pPr>
        <w:pStyle w:val="Heading2"/>
      </w:pPr>
      <w:bookmarkStart w:id="0" w:name="_Toc99406480"/>
      <w:r>
        <w:lastRenderedPageBreak/>
        <w:t>Types of Costs</w:t>
      </w:r>
      <w:bookmarkEnd w:id="0"/>
    </w:p>
    <w:p w14:paraId="47298B95" w14:textId="08898067" w:rsidR="000350EA" w:rsidRPr="000350EA" w:rsidRDefault="000350EA" w:rsidP="000350EA">
      <w:pPr>
        <w:pStyle w:val="Heading3"/>
      </w:pPr>
      <w:bookmarkStart w:id="1" w:name="_Toc99406481"/>
      <w:r>
        <w:t>Manufacturing Costs</w:t>
      </w:r>
      <w:bookmarkEnd w:id="1"/>
    </w:p>
    <w:p w14:paraId="2E9009B5" w14:textId="42B05B5B" w:rsidR="000350EA" w:rsidRDefault="000350EA" w:rsidP="000350EA">
      <w:r>
        <w:t xml:space="preserve">To manufacture a product, there are three types of costs associated directly with the process. These are called the </w:t>
      </w:r>
      <w:r w:rsidRPr="0035463D">
        <w:rPr>
          <w:b/>
          <w:bCs/>
          <w:color w:val="66D9EE" w:themeColor="accent3"/>
        </w:rPr>
        <w:t>manufacturing costs</w:t>
      </w:r>
      <w:r>
        <w:t xml:space="preserve"> and they include:</w:t>
      </w:r>
    </w:p>
    <w:p w14:paraId="243C2301" w14:textId="16A6C712" w:rsidR="000350EA" w:rsidRDefault="000350EA" w:rsidP="000350EA">
      <w:pPr>
        <w:pStyle w:val="ListParagraph"/>
        <w:numPr>
          <w:ilvl w:val="0"/>
          <w:numId w:val="2"/>
        </w:numPr>
      </w:pPr>
      <w:r>
        <w:t>Direct material costs or raw material costs</w:t>
      </w:r>
    </w:p>
    <w:p w14:paraId="172FCE2A" w14:textId="77777777" w:rsidR="000350EA" w:rsidRDefault="000350EA" w:rsidP="000350EA">
      <w:pPr>
        <w:pStyle w:val="ListParagraph"/>
      </w:pPr>
    </w:p>
    <w:p w14:paraId="5E5DD72A" w14:textId="2004E5D2" w:rsidR="000350EA" w:rsidRDefault="000350EA" w:rsidP="000350EA">
      <w:pPr>
        <w:pStyle w:val="ListParagraph"/>
        <w:numPr>
          <w:ilvl w:val="0"/>
          <w:numId w:val="2"/>
        </w:numPr>
      </w:pPr>
      <w:r>
        <w:t xml:space="preserve">Direct labour costs, </w:t>
      </w:r>
      <w:proofErr w:type="gramStart"/>
      <w:r>
        <w:t>i.e.</w:t>
      </w:r>
      <w:proofErr w:type="gramEnd"/>
      <w:r>
        <w:t xml:space="preserve"> the salaries of the labours producing the products</w:t>
      </w:r>
    </w:p>
    <w:p w14:paraId="25A8AF8E" w14:textId="77777777" w:rsidR="000350EA" w:rsidRDefault="000350EA" w:rsidP="000350EA">
      <w:pPr>
        <w:pStyle w:val="ListParagraph"/>
      </w:pPr>
    </w:p>
    <w:p w14:paraId="1454F02C" w14:textId="427BAB6D" w:rsidR="000350EA" w:rsidRDefault="000350EA" w:rsidP="000350EA">
      <w:pPr>
        <w:pStyle w:val="ListParagraph"/>
        <w:numPr>
          <w:ilvl w:val="0"/>
          <w:numId w:val="2"/>
        </w:numPr>
      </w:pPr>
      <w:r>
        <w:t>Factory overhead or manufacturing overhead, which refer to indirect costs related to the manufacture of the product such as the factory supervisor’s salary, security costs, factory rent, etc.</w:t>
      </w:r>
    </w:p>
    <w:p w14:paraId="1D6C3B55" w14:textId="4BF44147" w:rsidR="000350EA" w:rsidRDefault="000350EA" w:rsidP="000350EA">
      <w:r>
        <w:t xml:space="preserve">Manufacturing costs are also called </w:t>
      </w:r>
      <w:r w:rsidRPr="0035463D">
        <w:rPr>
          <w:b/>
          <w:bCs/>
          <w:color w:val="66D9EE" w:themeColor="accent3"/>
        </w:rPr>
        <w:t>product costs</w:t>
      </w:r>
      <w:r>
        <w:t xml:space="preserve"> or </w:t>
      </w:r>
      <w:r w:rsidRPr="0035463D">
        <w:rPr>
          <w:b/>
          <w:bCs/>
          <w:color w:val="66D9EE" w:themeColor="accent3"/>
        </w:rPr>
        <w:t>inventoried costs</w:t>
      </w:r>
      <w:r>
        <w:t>.</w:t>
      </w:r>
    </w:p>
    <w:p w14:paraId="74790DF7" w14:textId="6D6F45EE" w:rsidR="000350EA" w:rsidRDefault="000350EA" w:rsidP="000350EA">
      <w:r>
        <w:t xml:space="preserve">The direct material costs and the direct labour costs combined are called the </w:t>
      </w:r>
      <w:r w:rsidRPr="0035463D">
        <w:rPr>
          <w:b/>
          <w:bCs/>
          <w:color w:val="66D9EE" w:themeColor="accent3"/>
        </w:rPr>
        <w:t>prime cost</w:t>
      </w:r>
      <w:r>
        <w:t>.</w:t>
      </w:r>
    </w:p>
    <w:p w14:paraId="60DAAFAC" w14:textId="4A682CBF" w:rsidR="000350EA" w:rsidRDefault="000350EA" w:rsidP="000350EA">
      <w:r>
        <w:t xml:space="preserve">To convert raw material to a finished product, the direct labour costs and the factory overhead costs get involved, so these two costs combined are called the </w:t>
      </w:r>
      <w:r w:rsidRPr="0035463D">
        <w:rPr>
          <w:b/>
          <w:bCs/>
          <w:color w:val="66D9EE" w:themeColor="accent3"/>
        </w:rPr>
        <w:t>conversion cost</w:t>
      </w:r>
      <w:r>
        <w:t>.</w:t>
      </w:r>
    </w:p>
    <w:p w14:paraId="19898A95" w14:textId="3B68B8E5" w:rsidR="000350EA" w:rsidRDefault="000350EA">
      <w:pPr>
        <w:spacing w:after="160" w:line="259" w:lineRule="auto"/>
        <w:jc w:val="left"/>
      </w:pPr>
      <w:r>
        <w:br w:type="page"/>
      </w:r>
    </w:p>
    <w:p w14:paraId="5BB1DCCA" w14:textId="62697201" w:rsidR="000350EA" w:rsidRDefault="000350EA" w:rsidP="000350EA">
      <w:pPr>
        <w:pStyle w:val="Heading3"/>
      </w:pPr>
      <w:bookmarkStart w:id="2" w:name="_Toc99406482"/>
      <w:r>
        <w:lastRenderedPageBreak/>
        <w:t>Administrative Costs</w:t>
      </w:r>
      <w:bookmarkEnd w:id="2"/>
    </w:p>
    <w:p w14:paraId="53659B8B" w14:textId="2C72DBC2" w:rsidR="000350EA" w:rsidRDefault="000350EA" w:rsidP="000350EA">
      <w:r>
        <w:t xml:space="preserve">Besides the manufacturing costs, we also have some other costs incurred when running a </w:t>
      </w:r>
      <w:r w:rsidR="00AF6558">
        <w:t>day-to-day</w:t>
      </w:r>
      <w:r>
        <w:t xml:space="preserve"> business:</w:t>
      </w:r>
    </w:p>
    <w:p w14:paraId="2633BC24" w14:textId="44894869" w:rsidR="000350EA" w:rsidRDefault="000350EA" w:rsidP="000350EA">
      <w:pPr>
        <w:pStyle w:val="ListParagraph"/>
        <w:numPr>
          <w:ilvl w:val="0"/>
          <w:numId w:val="2"/>
        </w:numPr>
      </w:pPr>
      <w:r w:rsidRPr="0035463D">
        <w:rPr>
          <w:b/>
          <w:bCs/>
          <w:color w:val="66D9EE" w:themeColor="accent3"/>
        </w:rPr>
        <w:t>General and Administrative Overhead</w:t>
      </w:r>
      <w:r>
        <w:t xml:space="preserve"> – These refer to costs in the corporate office, not the factory, and can include employee salaries, utility bills, rent, etc.</w:t>
      </w:r>
    </w:p>
    <w:p w14:paraId="61ABCB65" w14:textId="77777777" w:rsidR="000350EA" w:rsidRDefault="000350EA" w:rsidP="000350EA">
      <w:pPr>
        <w:pStyle w:val="ListParagraph"/>
      </w:pPr>
    </w:p>
    <w:p w14:paraId="5B2847F3" w14:textId="3A77A680" w:rsidR="000350EA" w:rsidRDefault="000350EA" w:rsidP="000350EA">
      <w:pPr>
        <w:pStyle w:val="ListParagraph"/>
        <w:numPr>
          <w:ilvl w:val="0"/>
          <w:numId w:val="2"/>
        </w:numPr>
      </w:pPr>
      <w:r w:rsidRPr="0035463D">
        <w:rPr>
          <w:b/>
          <w:bCs/>
          <w:color w:val="66D9EE" w:themeColor="accent3"/>
        </w:rPr>
        <w:t xml:space="preserve">Selling and Distribution Overhead </w:t>
      </w:r>
      <w:r>
        <w:t xml:space="preserve">– These include advertising costs, transport costs, salaries for </w:t>
      </w:r>
      <w:proofErr w:type="gramStart"/>
      <w:r>
        <w:t>sales people</w:t>
      </w:r>
      <w:proofErr w:type="gramEnd"/>
      <w:r>
        <w:t>, showroom rent, etc.</w:t>
      </w:r>
    </w:p>
    <w:p w14:paraId="2FD3B5E9" w14:textId="77777777" w:rsidR="00C14F81" w:rsidRPr="00C14F81" w:rsidRDefault="00C14F81" w:rsidP="00C14F81">
      <w:pPr>
        <w:rPr>
          <w:szCs w:val="24"/>
        </w:rPr>
      </w:pPr>
      <w:r w:rsidRPr="00C14F81">
        <w:rPr>
          <w:szCs w:val="24"/>
        </w:rPr>
        <w:t xml:space="preserve">The above two costs combined are called the </w:t>
      </w:r>
      <w:r w:rsidRPr="00C14F81">
        <w:rPr>
          <w:b/>
          <w:bCs/>
          <w:color w:val="66D9EE" w:themeColor="accent3"/>
          <w:szCs w:val="24"/>
        </w:rPr>
        <w:t>period costs</w:t>
      </w:r>
      <w:r w:rsidRPr="00C14F81">
        <w:rPr>
          <w:szCs w:val="24"/>
        </w:rPr>
        <w:t xml:space="preserve">, since they apply to specific periods of time. They are registered in </w:t>
      </w:r>
      <w:r w:rsidRPr="00C14F81">
        <w:rPr>
          <w:b/>
          <w:bCs/>
          <w:color w:val="66D9EE" w:themeColor="accent3"/>
          <w:szCs w:val="24"/>
        </w:rPr>
        <w:t>financial statements</w:t>
      </w:r>
      <w:r w:rsidRPr="00C14F81">
        <w:rPr>
          <w:szCs w:val="24"/>
        </w:rPr>
        <w:t>.</w:t>
      </w:r>
    </w:p>
    <w:p w14:paraId="1B3B4256" w14:textId="77777777" w:rsidR="000350EA" w:rsidRPr="000350EA" w:rsidRDefault="000350EA" w:rsidP="000350EA"/>
    <w:p w14:paraId="0BE13A9D" w14:textId="5512948C" w:rsidR="000350EA" w:rsidRDefault="000350EA" w:rsidP="000350EA">
      <w:pPr>
        <w:pStyle w:val="Heading3"/>
      </w:pPr>
      <w:bookmarkStart w:id="3" w:name="_Toc99406483"/>
      <w:r>
        <w:t>Product Costs</w:t>
      </w:r>
      <w:bookmarkEnd w:id="3"/>
    </w:p>
    <w:p w14:paraId="5D071D36" w14:textId="25A64716" w:rsidR="000350EA" w:rsidRDefault="000350EA" w:rsidP="000350EA">
      <w:pPr>
        <w:rPr>
          <w:szCs w:val="24"/>
        </w:rPr>
      </w:pPr>
      <w:r>
        <w:rPr>
          <w:szCs w:val="24"/>
        </w:rPr>
        <w:t>The products that are manufactured can also be divided into two types of costs:</w:t>
      </w:r>
    </w:p>
    <w:p w14:paraId="7701EC55" w14:textId="4D1B8004" w:rsidR="000350EA" w:rsidRDefault="000350EA" w:rsidP="000350EA">
      <w:pPr>
        <w:pStyle w:val="ListParagraph"/>
        <w:numPr>
          <w:ilvl w:val="0"/>
          <w:numId w:val="2"/>
        </w:numPr>
        <w:rPr>
          <w:szCs w:val="24"/>
        </w:rPr>
      </w:pPr>
      <w:r w:rsidRPr="0035463D">
        <w:rPr>
          <w:b/>
          <w:bCs/>
          <w:color w:val="66D9EE" w:themeColor="accent3"/>
          <w:szCs w:val="24"/>
        </w:rPr>
        <w:t>Cost of Goods Sold</w:t>
      </w:r>
      <w:r>
        <w:rPr>
          <w:szCs w:val="24"/>
        </w:rPr>
        <w:t xml:space="preserve"> – This is registered in the </w:t>
      </w:r>
      <w:r w:rsidRPr="0035463D">
        <w:rPr>
          <w:b/>
          <w:bCs/>
          <w:color w:val="66D9EE" w:themeColor="accent3"/>
          <w:szCs w:val="24"/>
        </w:rPr>
        <w:t>income Statement</w:t>
      </w:r>
      <w:r>
        <w:rPr>
          <w:szCs w:val="24"/>
        </w:rPr>
        <w:t>.</w:t>
      </w:r>
    </w:p>
    <w:p w14:paraId="330AE894" w14:textId="77777777" w:rsidR="000350EA" w:rsidRDefault="000350EA" w:rsidP="000350EA">
      <w:pPr>
        <w:pStyle w:val="ListParagraph"/>
        <w:rPr>
          <w:szCs w:val="24"/>
        </w:rPr>
      </w:pPr>
    </w:p>
    <w:p w14:paraId="0A124717" w14:textId="0674E255" w:rsidR="000350EA" w:rsidRPr="000350EA" w:rsidRDefault="000350EA" w:rsidP="000350EA">
      <w:pPr>
        <w:pStyle w:val="ListParagraph"/>
        <w:numPr>
          <w:ilvl w:val="0"/>
          <w:numId w:val="2"/>
        </w:numPr>
        <w:rPr>
          <w:szCs w:val="24"/>
        </w:rPr>
      </w:pPr>
      <w:r w:rsidRPr="0035463D">
        <w:rPr>
          <w:b/>
          <w:bCs/>
          <w:color w:val="66D9EE" w:themeColor="accent3"/>
          <w:szCs w:val="24"/>
        </w:rPr>
        <w:t>Inventory Cost</w:t>
      </w:r>
      <w:r>
        <w:rPr>
          <w:szCs w:val="24"/>
        </w:rPr>
        <w:t xml:space="preserve"> – This is the cost of the unsold goods. It is registered in the </w:t>
      </w:r>
      <w:r w:rsidRPr="0035463D">
        <w:rPr>
          <w:b/>
          <w:bCs/>
          <w:color w:val="66D9EE" w:themeColor="accent3"/>
          <w:szCs w:val="24"/>
        </w:rPr>
        <w:t>Balance Sheet</w:t>
      </w:r>
      <w:r>
        <w:rPr>
          <w:szCs w:val="24"/>
        </w:rPr>
        <w:t>.</w:t>
      </w:r>
    </w:p>
    <w:p w14:paraId="73AC909D" w14:textId="5B63CCC8" w:rsidR="000350EA" w:rsidRPr="000350EA" w:rsidRDefault="000350EA" w:rsidP="000350EA">
      <w:pPr>
        <w:rPr>
          <w:szCs w:val="24"/>
        </w:rPr>
      </w:pPr>
      <w:proofErr w:type="gramStart"/>
      <w:r>
        <w:rPr>
          <w:szCs w:val="24"/>
        </w:rPr>
        <w:t>This is why</w:t>
      </w:r>
      <w:proofErr w:type="gramEnd"/>
      <w:r>
        <w:rPr>
          <w:szCs w:val="24"/>
        </w:rPr>
        <w:t xml:space="preserve"> product cost is also called </w:t>
      </w:r>
      <w:r w:rsidRPr="0035463D">
        <w:rPr>
          <w:b/>
          <w:bCs/>
          <w:color w:val="66D9EE" w:themeColor="accent3"/>
          <w:szCs w:val="24"/>
        </w:rPr>
        <w:t>inventoried cost</w:t>
      </w:r>
      <w:r>
        <w:rPr>
          <w:szCs w:val="24"/>
        </w:rPr>
        <w:t>.</w:t>
      </w:r>
    </w:p>
    <w:p w14:paraId="43A32687" w14:textId="44D9A6B6" w:rsidR="000350EA" w:rsidRDefault="000350EA" w:rsidP="000350EA">
      <w:pPr>
        <w:rPr>
          <w:szCs w:val="24"/>
        </w:rPr>
      </w:pPr>
    </w:p>
    <w:p w14:paraId="6CDD6483" w14:textId="028319B7" w:rsidR="000350EA" w:rsidRDefault="000350EA" w:rsidP="000350EA">
      <w:pPr>
        <w:pStyle w:val="Heading3"/>
      </w:pPr>
      <w:bookmarkStart w:id="4" w:name="_Toc99406484"/>
      <w:r>
        <w:lastRenderedPageBreak/>
        <w:t>Miscellaneous Costs</w:t>
      </w:r>
      <w:bookmarkEnd w:id="4"/>
    </w:p>
    <w:p w14:paraId="7A7E3148" w14:textId="08505C4A" w:rsidR="000350EA" w:rsidRDefault="000350EA" w:rsidP="000350EA">
      <w:pPr>
        <w:pStyle w:val="ListParagraph"/>
        <w:numPr>
          <w:ilvl w:val="0"/>
          <w:numId w:val="2"/>
        </w:numPr>
      </w:pPr>
      <w:r w:rsidRPr="0035463D">
        <w:rPr>
          <w:b/>
          <w:bCs/>
          <w:color w:val="66D9EE" w:themeColor="accent3"/>
        </w:rPr>
        <w:t>Opportunity Cost</w:t>
      </w:r>
      <w:r>
        <w:t xml:space="preserve"> – This refers to the cost of the opportunity not taken. Suppose we must decide between producing product A and product </w:t>
      </w:r>
      <w:proofErr w:type="gramStart"/>
      <w:r>
        <w:t>B</w:t>
      </w:r>
      <w:proofErr w:type="gramEnd"/>
      <w:r>
        <w:t xml:space="preserve"> and we decide to produce product A. In this case, the profit that we did not make due to not selling product B is the opportunity cost.</w:t>
      </w:r>
    </w:p>
    <w:p w14:paraId="0DF13371" w14:textId="77777777" w:rsidR="000350EA" w:rsidRDefault="000350EA" w:rsidP="000350EA">
      <w:pPr>
        <w:pStyle w:val="ListParagraph"/>
      </w:pPr>
    </w:p>
    <w:p w14:paraId="0177D554" w14:textId="12E22273" w:rsidR="000350EA" w:rsidRPr="000350EA" w:rsidRDefault="000350EA" w:rsidP="000350EA">
      <w:pPr>
        <w:pStyle w:val="ListParagraph"/>
        <w:numPr>
          <w:ilvl w:val="0"/>
          <w:numId w:val="2"/>
        </w:numPr>
      </w:pPr>
      <w:r w:rsidRPr="0035463D">
        <w:rPr>
          <w:b/>
          <w:bCs/>
          <w:color w:val="66D9EE" w:themeColor="accent3"/>
        </w:rPr>
        <w:t>Sunk Cost</w:t>
      </w:r>
      <w:r>
        <w:t xml:space="preserve"> – This refers to past costs that are being ignored in the current decision-making process. Suppose we bought a car or a machine. The cost for these will be shown through depreciation, so the actual expense when we bought them is a sunk cost and will be ignored.</w:t>
      </w:r>
    </w:p>
    <w:p w14:paraId="0C74F29D" w14:textId="6B44055F" w:rsidR="000350EA" w:rsidRDefault="000350EA" w:rsidP="000350EA">
      <w:pPr>
        <w:rPr>
          <w:szCs w:val="24"/>
        </w:rPr>
      </w:pPr>
    </w:p>
    <w:p w14:paraId="2B8EF3A4" w14:textId="133C303E" w:rsidR="000350EA" w:rsidRDefault="000350EA" w:rsidP="000350EA">
      <w:pPr>
        <w:pStyle w:val="Heading3"/>
      </w:pPr>
      <w:bookmarkStart w:id="5" w:name="_Toc99406485"/>
      <w:r>
        <w:t>Fixed and Variable Costs</w:t>
      </w:r>
      <w:bookmarkEnd w:id="5"/>
    </w:p>
    <w:p w14:paraId="071388D4" w14:textId="7F78C38E" w:rsidR="000350EA" w:rsidRDefault="000350EA" w:rsidP="000350EA">
      <w:r w:rsidRPr="0035463D">
        <w:rPr>
          <w:b/>
          <w:bCs/>
          <w:color w:val="66D9EE" w:themeColor="accent3"/>
        </w:rPr>
        <w:t>Fixed Costs</w:t>
      </w:r>
      <w:r>
        <w:t xml:space="preserve"> are costs that do not change, at least not on a regular basis, such as warehouse rent. </w:t>
      </w:r>
      <w:r w:rsidRPr="0035463D">
        <w:rPr>
          <w:b/>
          <w:bCs/>
          <w:color w:val="66D9EE" w:themeColor="accent3"/>
        </w:rPr>
        <w:t>Variable Costs</w:t>
      </w:r>
      <w:r>
        <w:t xml:space="preserve"> are costs that are expected to change regularly, such as the cost of raw materials, which depends on the units of a product we are manufacturing.</w:t>
      </w:r>
    </w:p>
    <w:p w14:paraId="56F30875" w14:textId="4F5007BE" w:rsidR="000350EA" w:rsidRDefault="000350EA" w:rsidP="000350EA">
      <w:pPr>
        <w:rPr>
          <w:rFonts w:eastAsiaTheme="minorEastAsia"/>
        </w:rPr>
      </w:pPr>
      <w:r>
        <w:t xml:space="preserve">Both these costs might </w:t>
      </w:r>
      <w:proofErr w:type="gramStart"/>
      <w:r>
        <w:t>change in reality, it</w:t>
      </w:r>
      <w:proofErr w:type="gramEnd"/>
      <w:r>
        <w:t xml:space="preserve"> is just that fixed costs are not expected to change for long periods of time. If we increase the number of products we manufacture for example, at some point we will need a larger warehouse, which means our warehouse rent, a fixed cost, will go up. Suppose our warehouse rent is </w:t>
      </w:r>
      <m:oMath>
        <m:r>
          <w:rPr>
            <w:rFonts w:ascii="Cambria Math" w:hAnsi="Cambria Math"/>
          </w:rPr>
          <m:t>$50,000</m:t>
        </m:r>
      </m:oMath>
      <w:r>
        <w:rPr>
          <w:rFonts w:eastAsiaTheme="minorEastAsia"/>
        </w:rPr>
        <w:t xml:space="preserve"> and</w:t>
      </w:r>
      <w:r>
        <w:t xml:space="preserve"> remains the same for the range of </w:t>
      </w:r>
      <m:oMath>
        <m:r>
          <w:rPr>
            <w:rFonts w:ascii="Cambria Math" w:hAnsi="Cambria Math"/>
          </w:rPr>
          <m:t>20,000</m:t>
        </m:r>
      </m:oMath>
      <w:r>
        <w:rPr>
          <w:rFonts w:eastAsiaTheme="minorEastAsia"/>
        </w:rPr>
        <w:t xml:space="preserve"> products to </w:t>
      </w:r>
      <m:oMath>
        <m:r>
          <w:rPr>
            <w:rFonts w:ascii="Cambria Math" w:eastAsiaTheme="minorEastAsia" w:hAnsi="Cambria Math"/>
          </w:rPr>
          <m:t>80,000</m:t>
        </m:r>
      </m:oMath>
      <w:r>
        <w:rPr>
          <w:rFonts w:eastAsiaTheme="minorEastAsia"/>
        </w:rPr>
        <w:t xml:space="preserve"> products. This is called the </w:t>
      </w:r>
      <w:r w:rsidRPr="0035463D">
        <w:rPr>
          <w:rFonts w:eastAsiaTheme="minorEastAsia"/>
          <w:b/>
          <w:bCs/>
          <w:color w:val="66D9EE" w:themeColor="accent3"/>
        </w:rPr>
        <w:t>relevant range</w:t>
      </w:r>
      <w:r>
        <w:rPr>
          <w:rFonts w:eastAsiaTheme="minorEastAsia"/>
        </w:rPr>
        <w:t xml:space="preserve"> for </w:t>
      </w:r>
      <m:oMath>
        <m:r>
          <w:rPr>
            <w:rFonts w:ascii="Cambria Math" w:eastAsiaTheme="minorEastAsia" w:hAnsi="Cambria Math"/>
          </w:rPr>
          <m:t>$50,000</m:t>
        </m:r>
      </m:oMath>
      <w:r>
        <w:rPr>
          <w:rFonts w:eastAsiaTheme="minorEastAsia"/>
        </w:rPr>
        <w:t>.</w:t>
      </w:r>
    </w:p>
    <w:p w14:paraId="193A16D8" w14:textId="77777777" w:rsidR="000350EA" w:rsidRDefault="000350EA" w:rsidP="000350EA">
      <w:pPr>
        <w:rPr>
          <w:rFonts w:eastAsiaTheme="minorEastAsia"/>
        </w:rPr>
      </w:pPr>
    </w:p>
    <w:p w14:paraId="312CD103" w14:textId="4C6B8654" w:rsidR="000350EA" w:rsidRPr="000350EA" w:rsidRDefault="000350EA" w:rsidP="000350EA">
      <w:r>
        <w:rPr>
          <w:rFonts w:eastAsiaTheme="minorEastAsia"/>
        </w:rPr>
        <w:lastRenderedPageBreak/>
        <w:t xml:space="preserve">Similarly, we can also have a relevant range for variable costs, due to bulk buying costs being lower than the normal material cost. Suppose for some material, we must pay </w:t>
      </w:r>
      <m:oMath>
        <m:r>
          <w:rPr>
            <w:rFonts w:ascii="Cambria Math" w:eastAsiaTheme="minorEastAsia" w:hAnsi="Cambria Math"/>
          </w:rPr>
          <m:t>$2</m:t>
        </m:r>
      </m:oMath>
      <w:r>
        <w:rPr>
          <w:rFonts w:eastAsiaTheme="minorEastAsia"/>
        </w:rPr>
        <w:t xml:space="preserve"> per piece, but if we buy more than </w:t>
      </w:r>
      <m:oMath>
        <m:r>
          <w:rPr>
            <w:rFonts w:ascii="Cambria Math" w:eastAsiaTheme="minorEastAsia" w:hAnsi="Cambria Math"/>
          </w:rPr>
          <m:t>20,000</m:t>
        </m:r>
      </m:oMath>
      <w:r>
        <w:rPr>
          <w:rFonts w:eastAsiaTheme="minorEastAsia"/>
        </w:rPr>
        <w:t xml:space="preserve"> pieces, the price drops to </w:t>
      </w:r>
      <m:oMath>
        <m:r>
          <w:rPr>
            <w:rFonts w:ascii="Cambria Math" w:eastAsiaTheme="minorEastAsia" w:hAnsi="Cambria Math"/>
          </w:rPr>
          <m:t>$1</m:t>
        </m:r>
      </m:oMath>
      <w:r>
        <w:rPr>
          <w:rFonts w:eastAsiaTheme="minorEastAsia"/>
        </w:rPr>
        <w:t xml:space="preserve"> per piece. If we buy more than </w:t>
      </w:r>
      <m:oMath>
        <m:r>
          <w:rPr>
            <w:rFonts w:ascii="Cambria Math" w:eastAsiaTheme="minorEastAsia" w:hAnsi="Cambria Math"/>
          </w:rPr>
          <m:t>80,000</m:t>
        </m:r>
      </m:oMath>
      <w:r>
        <w:rPr>
          <w:rFonts w:eastAsiaTheme="minorEastAsia"/>
        </w:rPr>
        <w:t xml:space="preserve">, the price drops further to </w:t>
      </w:r>
      <m:oMath>
        <m:r>
          <w:rPr>
            <w:rFonts w:ascii="Cambria Math" w:eastAsiaTheme="minorEastAsia" w:hAnsi="Cambria Math"/>
          </w:rPr>
          <m:t>$0.5</m:t>
        </m:r>
      </m:oMath>
      <w:r w:rsidR="00C14F81">
        <w:rPr>
          <w:rFonts w:eastAsiaTheme="minorEastAsia"/>
        </w:rPr>
        <w:t xml:space="preserve"> per piece</w:t>
      </w:r>
      <w:r>
        <w:rPr>
          <w:rFonts w:eastAsiaTheme="minorEastAsia"/>
        </w:rPr>
        <w:t xml:space="preserve">. Thus, </w:t>
      </w:r>
      <m:oMath>
        <m:r>
          <w:rPr>
            <w:rFonts w:ascii="Cambria Math" w:eastAsiaTheme="minorEastAsia" w:hAnsi="Cambria Math"/>
          </w:rPr>
          <m:t>20,000</m:t>
        </m:r>
      </m:oMath>
      <w:r>
        <w:rPr>
          <w:rFonts w:eastAsiaTheme="minorEastAsia"/>
        </w:rPr>
        <w:t xml:space="preserve"> to </w:t>
      </w:r>
      <m:oMath>
        <m:r>
          <w:rPr>
            <w:rFonts w:ascii="Cambria Math" w:eastAsiaTheme="minorEastAsia" w:hAnsi="Cambria Math"/>
          </w:rPr>
          <m:t>80,000</m:t>
        </m:r>
      </m:oMath>
      <w:r>
        <w:rPr>
          <w:rFonts w:eastAsiaTheme="minorEastAsia"/>
        </w:rPr>
        <w:t xml:space="preserve"> is the relevant range for </w:t>
      </w:r>
      <m:oMath>
        <m:r>
          <w:rPr>
            <w:rFonts w:ascii="Cambria Math" w:eastAsiaTheme="minorEastAsia" w:hAnsi="Cambria Math"/>
          </w:rPr>
          <m:t>$1</m:t>
        </m:r>
      </m:oMath>
      <w:r>
        <w:rPr>
          <w:rFonts w:eastAsiaTheme="minorEastAsia"/>
        </w:rPr>
        <w:t>.</w:t>
      </w:r>
    </w:p>
    <w:sectPr w:rsidR="000350EA" w:rsidRPr="0003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4C6FC3C9-BBA3-49A7-B6C0-EA9B65F9E891}"/>
    <w:embedBold r:id="rId2" w:fontKey="{68AE0D64-BDDB-4C46-946D-6A187D7B5766}"/>
  </w:font>
  <w:font w:name="Google Sans">
    <w:altName w:val="Calibri"/>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embedItalic r:id="rId3" w:fontKey="{B0E86946-4394-427A-B444-63D5A8D0A142}"/>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D1E96"/>
    <w:multiLevelType w:val="hybridMultilevel"/>
    <w:tmpl w:val="FC8AD668"/>
    <w:lvl w:ilvl="0" w:tplc="36E2F77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2913AA"/>
    <w:multiLevelType w:val="hybridMultilevel"/>
    <w:tmpl w:val="F9C6AF64"/>
    <w:lvl w:ilvl="0" w:tplc="320428F8">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06691">
    <w:abstractNumId w:val="0"/>
  </w:num>
  <w:num w:numId="2" w16cid:durableId="91324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EA"/>
    <w:rsid w:val="000350EA"/>
    <w:rsid w:val="0035463D"/>
    <w:rsid w:val="00366BB2"/>
    <w:rsid w:val="003B176B"/>
    <w:rsid w:val="003D2BB2"/>
    <w:rsid w:val="003E46A8"/>
    <w:rsid w:val="0052736E"/>
    <w:rsid w:val="008B01E0"/>
    <w:rsid w:val="00AB3F59"/>
    <w:rsid w:val="00AF6558"/>
    <w:rsid w:val="00C14F81"/>
    <w:rsid w:val="00D37230"/>
    <w:rsid w:val="00F17EDC"/>
    <w:rsid w:val="00FC5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02C1"/>
  <w15:chartTrackingRefBased/>
  <w15:docId w15:val="{E9626627-1918-47F3-A9D1-4900FC48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0350EA"/>
    <w:pPr>
      <w:ind w:left="720"/>
      <w:contextualSpacing/>
    </w:pPr>
  </w:style>
  <w:style w:type="character" w:styleId="PlaceholderText">
    <w:name w:val="Placeholder Text"/>
    <w:basedOn w:val="DefaultParagraphFont"/>
    <w:uiPriority w:val="99"/>
    <w:semiHidden/>
    <w:rsid w:val="000350EA"/>
    <w:rPr>
      <w:color w:val="808080"/>
    </w:rPr>
  </w:style>
  <w:style w:type="table" w:styleId="TableGrid">
    <w:name w:val="Table Grid"/>
    <w:basedOn w:val="TableNormal"/>
    <w:uiPriority w:val="39"/>
    <w:rsid w:val="00035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5D3C"/>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FAC8A-3803-4119-84F1-E7E2304E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2022-01-27T02:27:00Z</dcterms:created>
  <dcterms:modified xsi:type="dcterms:W3CDTF">2022-06-19T17:52:00Z</dcterms:modified>
</cp:coreProperties>
</file>