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IO-Link Communication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jc w:val="center"/>
            </w:pPr>
            <w:r>
              <w:rPr>
                <w:rFonts w:ascii="Times New Roman" w:cs="Times New Roman" w:eastAsia="Times New Roman" w:hAnsi="Times New Roman"/>
                <w:b/>
                <w:bCs/>
                <w:sz w:val="24"/>
                <w:szCs w:val="24"/>
              </w:rPr>
              <w:t xml:space="preserve">Md Wasib Kamal Nirjon</w:t>
            </w:r>
          </w:p>
          <w:p>
            <w:pPr>
              <w:spacing w:after="60" w:before="0"/>
              <w:jc w:val="center"/>
            </w:pPr>
            <w:r>
              <w:rPr>
                <w:rFonts w:ascii="Times New Roman" w:cs="Times New Roman" w:eastAsia="Times New Roman" w:hAnsi="Times New Roman"/>
                <w:sz w:val="24"/>
                <w:szCs w:val="24"/>
              </w:rPr>
              <w:t xml:space="preserve">Electronic Engineering</w:t>
            </w:r>
          </w:p>
          <w:p>
            <w:pPr>
              <w:spacing w:after="60" w:before="0"/>
              <w:jc w:val="center"/>
            </w:pPr>
            <w:r>
              <w:rPr>
                <w:rFonts w:ascii="Times New Roman" w:cs="Times New Roman" w:eastAsia="Times New Roman" w:hAnsi="Times New Roman"/>
                <w:sz w:val="24"/>
                <w:szCs w:val="24"/>
              </w:rPr>
              <w:t xml:space="preserve">Hamm-Lippstadt University of Applied Sciences</w:t>
            </w:r>
          </w:p>
          <w:p>
            <w:pPr>
              <w:spacing w:after="60" w:before="0"/>
              <w:jc w:val="center"/>
            </w:pPr>
            <w:r>
              <w:rPr>
                <w:rFonts w:ascii="Times New Roman" w:cs="Times New Roman" w:eastAsia="Times New Roman" w:hAnsi="Times New Roman"/>
                <w:sz w:val="24"/>
                <w:szCs w:val="24"/>
              </w:rPr>
              <w:t xml:space="preserve">Lippstadt, Germany</w:t>
            </w:r>
          </w:p>
          <w:p>
            <w:pPr>
              <w:spacing w:after="0" w:before="0"/>
              <w:jc w:val="center"/>
            </w:pPr>
            <w:r>
              <w:rPr>
                <w:rFonts w:ascii="Times New Roman" w:cs="Times New Roman" w:eastAsia="Times New Roman" w:hAnsi="Times New Roman"/>
                <w:sz w:val="24"/>
                <w:szCs w:val="24"/>
              </w:rPr>
              <w:t xml:space="preserve">md-wasib-kamal.nirjon@stud.hshl.de</w:t>
            </w: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jc w:val="center"/>
            </w:pPr>
            <w:r>
              <w:rPr>
                <w:rFonts w:ascii="Times New Roman" w:cs="Times New Roman" w:eastAsia="Times New Roman" w:hAnsi="Times New Roman"/>
                <w:b/>
                <w:bCs/>
                <w:sz w:val="24"/>
                <w:szCs w:val="24"/>
              </w:rPr>
              <w:t xml:space="preserve">Md Ratul Ahmed Alvi</w:t>
            </w:r>
          </w:p>
          <w:p>
            <w:pPr>
              <w:spacing w:after="60" w:before="0"/>
              <w:jc w:val="center"/>
            </w:pPr>
            <w:r>
              <w:rPr>
                <w:rFonts w:ascii="Times New Roman" w:cs="Times New Roman" w:eastAsia="Times New Roman" w:hAnsi="Times New Roman"/>
                <w:sz w:val="24"/>
                <w:szCs w:val="24"/>
              </w:rPr>
              <w:t xml:space="preserve">Electronic Engineering</w:t>
            </w:r>
          </w:p>
          <w:p>
            <w:pPr>
              <w:spacing w:after="60" w:before="0"/>
              <w:jc w:val="center"/>
            </w:pPr>
            <w:r>
              <w:rPr>
                <w:rFonts w:ascii="Times New Roman" w:cs="Times New Roman" w:eastAsia="Times New Roman" w:hAnsi="Times New Roman"/>
                <w:sz w:val="24"/>
                <w:szCs w:val="24"/>
              </w:rPr>
              <w:t xml:space="preserve">Hamm-Lippstadt University of Applied Sciences</w:t>
            </w:r>
          </w:p>
          <w:p>
            <w:pPr>
              <w:spacing w:after="60" w:before="0"/>
              <w:jc w:val="center"/>
            </w:pPr>
            <w:r>
              <w:rPr>
                <w:rFonts w:ascii="Times New Roman" w:cs="Times New Roman" w:eastAsia="Times New Roman" w:hAnsi="Times New Roman"/>
                <w:sz w:val="24"/>
                <w:szCs w:val="24"/>
              </w:rPr>
              <w:t xml:space="preserve">Lippstadt, Germany</w:t>
            </w:r>
          </w:p>
          <w:p>
            <w:pPr>
              <w:spacing w:after="0" w:before="0"/>
              <w:jc w:val="center"/>
            </w:pPr>
            <w:r>
              <w:rPr>
                <w:rFonts w:ascii="Times New Roman" w:cs="Times New Roman" w:eastAsia="Times New Roman" w:hAnsi="Times New Roman"/>
                <w:sz w:val="24"/>
                <w:szCs w:val="24"/>
              </w:rPr>
              <w:t xml:space="preserve">md-ratul-ahmed.alvi@stud.hshl.de</w:t>
            </w:r>
          </w:p>
        </w:tc>
      </w:tr>
    </w:tbl>
    <w:p>
      <w:pPr>
        <w:spacing w:after="280" w:before="0"/>
      </w:pPr>
    </w:p>
    <w:p>
      <w:pPr>
        <w:spacing w:after="120" w:before="280"/>
      </w:pPr>
      <w:r>
        <w:rPr>
          <w:rFonts w:ascii="Times New Roman" w:cs="Times New Roman" w:eastAsia="Times New Roman" w:hAnsi="Times New Roman"/>
          <w:b/>
          <w:bCs/>
          <w:sz w:val="24"/>
          <w:szCs w:val="24"/>
        </w:rPr>
        <w:t xml:space="preserve">Abstract</w:t>
      </w:r>
    </w:p>
    <w:p>
      <w:pPr>
        <w:spacing w:after="160" w:before="0"/>
        <w:jc w:val="both"/>
      </w:pPr>
      <w:r>
        <w:rPr>
          <w:rFonts w:ascii="Times New Roman" w:cs="Times New Roman" w:eastAsia="Times New Roman" w:hAnsi="Times New Roman"/>
          <w:sz w:val="24"/>
          <w:szCs w:val="24"/>
        </w:rPr>
        <w:t xml:space="preserve">This paper presents an initial-stage analysis of the IO-Link communication standard (IEC 61131-9) as a point-to-point interface for industrial sensors and actuators. We examine the protocol architecture, parameterization mechanisms, diagnostic capabilities, and a brief comparison with traditional analog and digital I/O. IO-Link is positioned as a complementary last-meter digitalization layer within broader industrial automation stacks (EtherCAT, PROFINET, OPC UA). Key metrics include latency, throughput, jitter, and cycle time.</w:t>
      </w:r>
    </w:p>
    <w:p>
      <w:pPr>
        <w:spacing w:after="28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IO-Link, IEC 61131-9, industrial communication, sensor interface, Industry 4.0, parameterization</w:t>
      </w:r>
    </w:p>
    <w:p>
      <w:pPr>
        <w:spacing w:after="120" w:before="280"/>
      </w:pPr>
      <w:r>
        <w:rPr>
          <w:rFonts w:ascii="Times New Roman" w:cs="Times New Roman" w:eastAsia="Times New Roman" w:hAnsi="Times New Roman"/>
          <w:b/>
          <w:bCs/>
          <w:sz w:val="24"/>
          <w:szCs w:val="24"/>
        </w:rPr>
        <w:t xml:space="preserve">1.  Introduction</w:t>
      </w:r>
    </w:p>
    <w:p>
      <w:pPr>
        <w:spacing w:after="160" w:before="0"/>
        <w:jc w:val="both"/>
      </w:pPr>
      <w:r>
        <w:rPr>
          <w:rFonts w:ascii="Times New Roman" w:cs="Times New Roman" w:eastAsia="Times New Roman" w:hAnsi="Times New Roman"/>
          <w:sz w:val="24"/>
          <w:szCs w:val="24"/>
        </w:rPr>
        <w:t xml:space="preserve">Modern industrial automation requires smarter, bidirectional communication at the sensor and actuator level. Traditional interfaces — analog 4–20 mA current loops and binary digital I/O — carry only a single process value with no device identity, no diagnostics, and no remote parameterization [1]. IO-Link (IEC 61131-9, 2013) addresses this gap by providing a universal three-wire point-to-point link for the last meter between master and field device [2].</w:t>
      </w:r>
    </w:p>
    <w:p>
      <w:pPr>
        <w:spacing w:after="280" w:before="0"/>
        <w:jc w:val="both"/>
      </w:pPr>
      <w:r>
        <w:rPr>
          <w:rFonts w:ascii="Times New Roman" w:cs="Times New Roman" w:eastAsia="Times New Roman" w:hAnsi="Times New Roman"/>
          <w:sz w:val="24"/>
          <w:szCs w:val="24"/>
        </w:rPr>
        <w:t xml:space="preserve">The paper is organized as follows: Section 2 reviews related fieldbus evolution. Section 3 describes the IO-Link architecture. Section 4 evaluates key metrics and compares IO-Link with traditional I/O. Section 5 concludes with an outlook.</w:t>
      </w:r>
    </w:p>
    <w:p>
      <w:pPr>
        <w:spacing w:after="120" w:before="280"/>
      </w:pPr>
      <w:r>
        <w:rPr>
          <w:rFonts w:ascii="Times New Roman" w:cs="Times New Roman" w:eastAsia="Times New Roman" w:hAnsi="Times New Roman"/>
          <w:b/>
          <w:bCs/>
          <w:sz w:val="24"/>
          <w:szCs w:val="24"/>
        </w:rPr>
        <w:t xml:space="preserve">2.  Literature Review</w:t>
      </w:r>
    </w:p>
    <w:p>
      <w:pPr>
        <w:spacing w:after="160" w:before="0"/>
        <w:jc w:val="both"/>
      </w:pPr>
      <w:r>
        <w:rPr>
          <w:rFonts w:ascii="Times New Roman" w:cs="Times New Roman" w:eastAsia="Times New Roman" w:hAnsi="Times New Roman"/>
          <w:sz w:val="24"/>
          <w:szCs w:val="24"/>
        </w:rPr>
        <w:t xml:space="preserve">Industrial communication has evolved through three generations. Classic fieldbuses (PROFIBUS, MODBUS) introduced deterministic communication but remained proprietary [3]. Industrial Ethernet (PROFINET, EtherCAT) brought higher bandwidth and real-time capability [4]. Neither generation standardized sensor-level parameterization or diagnostics. IO-Link (IEC 61131-9:2013) was introduced to fill this last-meter gap over existing three-wire cabling [1][5].</w:t>
      </w:r>
    </w:p>
    <w:p>
      <w:pPr>
        <w:spacing w:after="280" w:before="0"/>
        <w:jc w:val="both"/>
      </w:pPr>
      <w:r>
        <w:rPr>
          <w:rFonts w:ascii="Times New Roman" w:cs="Times New Roman" w:eastAsia="Times New Roman" w:hAnsi="Times New Roman"/>
          <w:sz w:val="24"/>
          <w:szCs w:val="24"/>
        </w:rPr>
        <w:t xml:space="preserve">Existing literature covers IO-Link in discrete manufacturing [6] and condition monitoring [7]. This work focuses on a performance comparison between IO-Link and traditional I/O using standard KPIs.</w:t>
      </w:r>
    </w:p>
    <w:p>
      <w:pPr>
        <w:spacing w:after="120" w:before="280"/>
      </w:pPr>
      <w:r>
        <w:rPr>
          <w:rFonts w:ascii="Times New Roman" w:cs="Times New Roman" w:eastAsia="Times New Roman" w:hAnsi="Times New Roman"/>
          <w:b/>
          <w:bCs/>
          <w:sz w:val="24"/>
          <w:szCs w:val="24"/>
        </w:rPr>
        <w:t xml:space="preserve">3.  System Architecture and Protocol Stack</w:t>
      </w:r>
    </w:p>
    <w:p>
      <w:pPr>
        <w:spacing w:after="80" w:before="180"/>
      </w:pPr>
      <w:r>
        <w:rPr>
          <w:rFonts w:ascii="Times New Roman" w:cs="Times New Roman" w:eastAsia="Times New Roman" w:hAnsi="Times New Roman"/>
          <w:b/>
          <w:bCs/>
          <w:i/>
          <w:iCs/>
          <w:sz w:val="24"/>
          <w:szCs w:val="24"/>
        </w:rPr>
        <w:t xml:space="preserve">3.1  Physical Layer</w:t>
      </w:r>
    </w:p>
    <w:p>
      <w:pPr>
        <w:spacing w:after="160" w:before="0"/>
        <w:jc w:val="both"/>
      </w:pPr>
      <w:r>
        <w:rPr>
          <w:rFonts w:ascii="Times New Roman" w:cs="Times New Roman" w:eastAsia="Times New Roman" w:hAnsi="Times New Roman"/>
          <w:sz w:val="24"/>
          <w:szCs w:val="24"/>
        </w:rPr>
        <w:t xml:space="preserve">IO-Link uses a three-wire interface (L+, L−, C/Q), maximum cable length of 20 m, over standard unshielded M8/M12 connectors compatible with existing automation wiring. Backward compatibility with standard I/O (SIO mode) is preserved.</w:t>
      </w:r>
    </w:p>
    <w:p>
      <w:pPr>
        <w:spacing w:after="80" w:before="180"/>
      </w:pPr>
      <w:r>
        <w:rPr>
          <w:rFonts w:ascii="Times New Roman" w:cs="Times New Roman" w:eastAsia="Times New Roman" w:hAnsi="Times New Roman"/>
          <w:b/>
          <w:bCs/>
          <w:i/>
          <w:iCs/>
          <w:sz w:val="24"/>
          <w:szCs w:val="24"/>
        </w:rPr>
        <w:t xml:space="preserve">3.2  Communication Modes</w:t>
      </w:r>
    </w:p>
    <w:p>
      <w:pPr>
        <w:spacing w:after="160" w:before="0"/>
        <w:jc w:val="both"/>
      </w:pPr>
      <w:r>
        <w:rPr>
          <w:rFonts w:ascii="Times New Roman" w:cs="Times New Roman" w:eastAsia="Times New Roman" w:hAnsi="Times New Roman"/>
          <w:sz w:val="24"/>
          <w:szCs w:val="24"/>
        </w:rPr>
        <w:t xml:space="preserve">The master polls up to eight device ports per cycle. Three speeds are defined:</w:t>
      </w:r>
    </w:p>
    <w:p>
      <w:pPr>
        <w:pStyle w:val="ListParagraph"/>
        <w:numPr>
          <w:ilvl w:val="0"/>
          <w:numId w:val="2"/>
        </w:numPr>
        <w:spacing w:after="40" w:before="40"/>
      </w:pPr>
      <w:r>
        <w:rPr>
          <w:rFonts w:ascii="Times New Roman" w:cs="Times New Roman" w:eastAsia="Times New Roman" w:hAnsi="Times New Roman"/>
          <w:sz w:val="24"/>
          <w:szCs w:val="24"/>
        </w:rPr>
        <w:t xml:space="preserve">COM1: 4.8 kbaud — legacy and low-speed devices</w:t>
      </w:r>
    </w:p>
    <w:p>
      <w:pPr>
        <w:pStyle w:val="ListParagraph"/>
        <w:numPr>
          <w:ilvl w:val="0"/>
          <w:numId w:val="2"/>
        </w:numPr>
        <w:spacing w:after="40" w:before="40"/>
      </w:pPr>
      <w:r>
        <w:rPr>
          <w:rFonts w:ascii="Times New Roman" w:cs="Times New Roman" w:eastAsia="Times New Roman" w:hAnsi="Times New Roman"/>
          <w:sz w:val="24"/>
          <w:szCs w:val="24"/>
        </w:rPr>
        <w:t xml:space="preserve">COM2: 38.4 kbaud — standard automation sensors</w:t>
      </w:r>
    </w:p>
    <w:p>
      <w:pPr>
        <w:pStyle w:val="ListParagraph"/>
        <w:numPr>
          <w:ilvl w:val="0"/>
          <w:numId w:val="2"/>
        </w:numPr>
        <w:spacing w:after="40" w:before="40"/>
      </w:pPr>
      <w:r>
        <w:rPr>
          <w:rFonts w:ascii="Times New Roman" w:cs="Times New Roman" w:eastAsia="Times New Roman" w:hAnsi="Times New Roman"/>
          <w:sz w:val="24"/>
          <w:szCs w:val="24"/>
        </w:rPr>
        <w:t xml:space="preserve">COM3: 230.4 kbaud — high-speed devices</w:t>
      </w:r>
    </w:p>
    <w:p>
      <w:pPr>
        <w:spacing w:after="160" w:before="80"/>
        <w:jc w:val="both"/>
      </w:pPr>
      <w:r>
        <w:rPr>
          <w:rFonts w:ascii="Times New Roman" w:cs="Times New Roman" w:eastAsia="Times New Roman" w:hAnsi="Times New Roman"/>
          <w:sz w:val="24"/>
          <w:szCs w:val="24"/>
        </w:rPr>
        <w:t xml:space="preserve">Each M-sequence frame carries cyclic process data, acyclic ISDU (Indexed Service Data Unit) for parameterization, and event/diagnostic codes within a single exchange [2].</w:t>
      </w:r>
    </w:p>
    <w:p>
      <w:pPr>
        <w:spacing w:after="80" w:before="180"/>
      </w:pPr>
      <w:r>
        <w:rPr>
          <w:rFonts w:ascii="Times New Roman" w:cs="Times New Roman" w:eastAsia="Times New Roman" w:hAnsi="Times New Roman"/>
          <w:b/>
          <w:bCs/>
          <w:i/>
          <w:iCs/>
          <w:sz w:val="24"/>
          <w:szCs w:val="24"/>
        </w:rPr>
        <w:t xml:space="preserve">3.3  Parameterization and Diagnostics</w:t>
      </w:r>
    </w:p>
    <w:p>
      <w:pPr>
        <w:spacing w:after="280" w:before="0"/>
        <w:jc w:val="both"/>
      </w:pPr>
      <w:r>
        <w:rPr>
          <w:rFonts w:ascii="Times New Roman" w:cs="Times New Roman" w:eastAsia="Times New Roman" w:hAnsi="Times New Roman"/>
          <w:sz w:val="24"/>
          <w:szCs w:val="24"/>
        </w:rPr>
        <w:t xml:space="preserve">Each device is described by an IODD (IO Device Description) XML file. On device swap, the master automatically verifies device identity and restores parameters. Diagnostic events are transmitted in real time to the PLC or SCADA system, enabling predictive maintenance without additional wiring.</w:t>
      </w:r>
    </w:p>
    <w:p>
      <w:pPr>
        <w:spacing w:after="120" w:before="280"/>
      </w:pPr>
      <w:r>
        <w:rPr>
          <w:rFonts w:ascii="Times New Roman" w:cs="Times New Roman" w:eastAsia="Times New Roman" w:hAnsi="Times New Roman"/>
          <w:b/>
          <w:bCs/>
          <w:sz w:val="24"/>
          <w:szCs w:val="24"/>
        </w:rPr>
        <w:t xml:space="preserve">4.  Evaluation</w:t>
      </w:r>
    </w:p>
    <w:p>
      <w:pPr>
        <w:spacing w:after="80" w:before="180"/>
      </w:pPr>
      <w:r>
        <w:rPr>
          <w:rFonts w:ascii="Times New Roman" w:cs="Times New Roman" w:eastAsia="Times New Roman" w:hAnsi="Times New Roman"/>
          <w:b/>
          <w:bCs/>
          <w:i/>
          <w:iCs/>
          <w:sz w:val="24"/>
          <w:szCs w:val="24"/>
        </w:rPr>
        <w:t xml:space="preserve">4.1  Key Performance Indicators</w:t>
      </w:r>
    </w:p>
    <w:p>
      <w:pPr>
        <w:pStyle w:val="ListParagraph"/>
        <w:numPr>
          <w:ilvl w:val="0"/>
          <w:numId w:val="2"/>
        </w:numPr>
        <w:spacing w:after="40" w:before="40"/>
      </w:pPr>
      <w:r>
        <w:rPr>
          <w:rFonts w:ascii="Times New Roman" w:cs="Times New Roman" w:eastAsia="Times New Roman" w:hAnsi="Times New Roman"/>
          <w:sz w:val="24"/>
          <w:szCs w:val="24"/>
        </w:rPr>
        <w:t xml:space="preserve">Latency: approximately 2–5 ms per polling cycle</w:t>
      </w:r>
    </w:p>
    <w:p>
      <w:pPr>
        <w:pStyle w:val="ListParagraph"/>
        <w:numPr>
          <w:ilvl w:val="0"/>
          <w:numId w:val="2"/>
        </w:numPr>
        <w:spacing w:after="40" w:before="40"/>
      </w:pPr>
      <w:r>
        <w:rPr>
          <w:rFonts w:ascii="Times New Roman" w:cs="Times New Roman" w:eastAsia="Times New Roman" w:hAnsi="Times New Roman"/>
          <w:sz w:val="24"/>
          <w:szCs w:val="24"/>
        </w:rPr>
        <w:t xml:space="preserve">Throughput: up to 230.4 kbps at COM3</w:t>
      </w:r>
    </w:p>
    <w:p>
      <w:pPr>
        <w:pStyle w:val="ListParagraph"/>
        <w:numPr>
          <w:ilvl w:val="0"/>
          <w:numId w:val="2"/>
        </w:numPr>
        <w:spacing w:after="40" w:before="40"/>
      </w:pPr>
      <w:r>
        <w:rPr>
          <w:rFonts w:ascii="Times New Roman" w:cs="Times New Roman" w:eastAsia="Times New Roman" w:hAnsi="Times New Roman"/>
          <w:sz w:val="24"/>
          <w:szCs w:val="24"/>
        </w:rPr>
        <w:t xml:space="preserve">Jitter: below 1 µs at COM3</w:t>
      </w:r>
    </w:p>
    <w:p>
      <w:pPr>
        <w:pStyle w:val="ListParagraph"/>
        <w:numPr>
          <w:ilvl w:val="0"/>
          <w:numId w:val="2"/>
        </w:numPr>
        <w:spacing w:after="40" w:before="40"/>
      </w:pPr>
      <w:r>
        <w:rPr>
          <w:rFonts w:ascii="Times New Roman" w:cs="Times New Roman" w:eastAsia="Times New Roman" w:hAnsi="Times New Roman"/>
          <w:sz w:val="24"/>
          <w:szCs w:val="24"/>
        </w:rPr>
        <w:t xml:space="preserve">Cycle time: 0.4 ms to 40 ms depending on device class</w:t>
      </w:r>
    </w:p>
    <w:p>
      <w:pPr>
        <w:pStyle w:val="ListParagraph"/>
        <w:numPr>
          <w:ilvl w:val="0"/>
          <w:numId w:val="2"/>
        </w:numPr>
        <w:spacing w:after="40" w:before="40"/>
      </w:pPr>
      <w:r>
        <w:rPr>
          <w:rFonts w:ascii="Times New Roman" w:cs="Times New Roman" w:eastAsia="Times New Roman" w:hAnsi="Times New Roman"/>
          <w:sz w:val="24"/>
          <w:szCs w:val="24"/>
        </w:rPr>
        <w:t xml:space="preserve">Determinism: master-driven polling, bounded timing</w:t>
      </w:r>
    </w:p>
    <w:p>
      <w:pPr>
        <w:spacing w:after="80" w:before="180"/>
      </w:pPr>
      <w:r>
        <w:rPr>
          <w:rFonts w:ascii="Times New Roman" w:cs="Times New Roman" w:eastAsia="Times New Roman" w:hAnsi="Times New Roman"/>
          <w:b/>
          <w:bCs/>
          <w:i/>
          <w:iCs/>
          <w:sz w:val="24"/>
          <w:szCs w:val="24"/>
        </w:rPr>
        <w:t xml:space="preserve">4.2  Comparison with Traditional I/O</w:t>
      </w:r>
    </w:p>
    <w:p>
      <w:pPr>
        <w:pStyle w:val="ListParagraph"/>
        <w:numPr>
          <w:ilvl w:val="0"/>
          <w:numId w:val="2"/>
        </w:numPr>
        <w:spacing w:after="40" w:before="40"/>
      </w:pPr>
      <w:r>
        <w:rPr>
          <w:rFonts w:ascii="Times New Roman" w:cs="Times New Roman" w:eastAsia="Times New Roman" w:hAnsi="Times New Roman"/>
          <w:b/>
          <w:bCs/>
          <w:sz w:val="24"/>
          <w:szCs w:val="24"/>
        </w:rPr>
        <w:t xml:space="preserve">Analog I/O (4–20 mA)</w:t>
      </w:r>
      <w:r>
        <w:rPr>
          <w:rFonts w:ascii="Times New Roman" w:cs="Times New Roman" w:eastAsia="Times New Roman" w:hAnsi="Times New Roman"/>
          <w:sz w:val="24"/>
          <w:szCs w:val="24"/>
        </w:rPr>
        <w:t xml:space="preserve">: one process value, no device identity, EMI-susceptible, manual calibration required</w:t>
      </w:r>
    </w:p>
    <w:p>
      <w:pPr>
        <w:pStyle w:val="ListParagraph"/>
        <w:numPr>
          <w:ilvl w:val="0"/>
          <w:numId w:val="2"/>
        </w:numPr>
        <w:spacing w:after="40" w:before="40"/>
      </w:pPr>
      <w:r>
        <w:rPr>
          <w:rFonts w:ascii="Times New Roman" w:cs="Times New Roman" w:eastAsia="Times New Roman" w:hAnsi="Times New Roman"/>
          <w:b/>
          <w:bCs/>
          <w:sz w:val="24"/>
          <w:szCs w:val="24"/>
        </w:rPr>
        <w:t xml:space="preserve">Digital I/O (binary)</w:t>
      </w:r>
      <w:r>
        <w:rPr>
          <w:rFonts w:ascii="Times New Roman" w:cs="Times New Roman" w:eastAsia="Times New Roman" w:hAnsi="Times New Roman"/>
          <w:sz w:val="24"/>
          <w:szCs w:val="24"/>
        </w:rPr>
        <w:t xml:space="preserve">: on/off signal only, no parameterization, no event reporting</w:t>
      </w:r>
    </w:p>
    <w:p>
      <w:pPr>
        <w:pStyle w:val="ListParagraph"/>
        <w:numPr>
          <w:ilvl w:val="0"/>
          <w:numId w:val="2"/>
        </w:numPr>
        <w:spacing w:after="40" w:before="40"/>
      </w:pPr>
      <w:r>
        <w:rPr>
          <w:rFonts w:ascii="Times New Roman" w:cs="Times New Roman" w:eastAsia="Times New Roman" w:hAnsi="Times New Roman"/>
          <w:b/>
          <w:bCs/>
          <w:sz w:val="24"/>
          <w:szCs w:val="24"/>
        </w:rPr>
        <w:t xml:space="preserve">IO-Link</w:t>
      </w:r>
      <w:r>
        <w:rPr>
          <w:rFonts w:ascii="Times New Roman" w:cs="Times New Roman" w:eastAsia="Times New Roman" w:hAnsi="Times New Roman"/>
          <w:sz w:val="24"/>
          <w:szCs w:val="24"/>
        </w:rPr>
        <w:t xml:space="preserve">: bidirectional, multi-parameter, plug-and-play swap via IODD, real-time diagnostics, no extra wiring cost</w:t>
      </w:r>
    </w:p>
    <w:p>
      <w:pPr>
        <w:spacing w:after="160" w:before="80"/>
        <w:jc w:val="both"/>
      </w:pPr>
      <w:r>
        <w:rPr>
          <w:rFonts w:ascii="Times New Roman" w:cs="Times New Roman" w:eastAsia="Times New Roman" w:hAnsi="Times New Roman"/>
          <w:sz w:val="24"/>
          <w:szCs w:val="24"/>
        </w:rPr>
        <w:t xml:space="preserve">IO-Link complements — not replaces — controller-level protocols such as EtherCAT. For sub-millisecond determinism at the PLC level, IO-Link master polling overhead must be accounted for in system design [6].</w:t>
      </w:r>
    </w:p>
    <w:p>
      <w:pPr>
        <w:spacing w:after="80" w:before="180"/>
      </w:pPr>
      <w:r>
        <w:rPr>
          <w:rFonts w:ascii="Times New Roman" w:cs="Times New Roman" w:eastAsia="Times New Roman" w:hAnsi="Times New Roman"/>
          <w:b/>
          <w:bCs/>
          <w:i/>
          <w:iCs/>
          <w:sz w:val="24"/>
          <w:szCs w:val="24"/>
        </w:rPr>
        <w:t xml:space="preserve">4.3  Application Areas</w:t>
      </w:r>
    </w:p>
    <w:p>
      <w:pPr>
        <w:pStyle w:val="ListParagraph"/>
        <w:numPr>
          <w:ilvl w:val="0"/>
          <w:numId w:val="2"/>
        </w:numPr>
        <w:spacing w:after="40" w:before="40"/>
      </w:pPr>
      <w:r>
        <w:rPr>
          <w:rFonts w:ascii="Times New Roman" w:cs="Times New Roman" w:eastAsia="Times New Roman" w:hAnsi="Times New Roman"/>
          <w:sz w:val="24"/>
          <w:szCs w:val="24"/>
        </w:rPr>
        <w:t xml:space="preserve">Smart factory edge nodes: pressure, temperature, and flow sensors with embedded intelligence</w:t>
      </w:r>
    </w:p>
    <w:p>
      <w:pPr>
        <w:pStyle w:val="ListParagraph"/>
        <w:numPr>
          <w:ilvl w:val="0"/>
          <w:numId w:val="2"/>
        </w:numPr>
        <w:spacing w:after="40" w:before="40"/>
      </w:pPr>
      <w:r>
        <w:rPr>
          <w:rFonts w:ascii="Times New Roman" w:cs="Times New Roman" w:eastAsia="Times New Roman" w:hAnsi="Times New Roman"/>
          <w:sz w:val="24"/>
          <w:szCs w:val="24"/>
        </w:rPr>
        <w:t xml:space="preserve">Condition monitoring: vibration sensors transmitting diagnostics for predictive maintenance</w:t>
      </w:r>
    </w:p>
    <w:p>
      <w:pPr>
        <w:pStyle w:val="ListParagraph"/>
        <w:numPr>
          <w:ilvl w:val="0"/>
          <w:numId w:val="2"/>
        </w:numPr>
        <w:spacing w:after="40" w:before="40"/>
      </w:pPr>
      <w:r>
        <w:rPr>
          <w:rFonts w:ascii="Times New Roman" w:cs="Times New Roman" w:eastAsia="Times New Roman" w:hAnsi="Times New Roman"/>
          <w:sz w:val="24"/>
          <w:szCs w:val="24"/>
        </w:rPr>
        <w:t xml:space="preserve">Collaborative robotics: end-of-arm tooling reconfiguration via ISDU without production stops</w:t>
      </w:r>
    </w:p>
    <w:p>
      <w:pPr>
        <w:pStyle w:val="ListParagraph"/>
        <w:numPr>
          <w:ilvl w:val="0"/>
          <w:numId w:val="2"/>
        </w:numPr>
        <w:spacing w:after="40" w:before="40"/>
      </w:pPr>
      <w:r>
        <w:rPr>
          <w:rFonts w:ascii="Times New Roman" w:cs="Times New Roman" w:eastAsia="Times New Roman" w:hAnsi="Times New Roman"/>
          <w:sz w:val="24"/>
          <w:szCs w:val="24"/>
        </w:rPr>
        <w:t xml:space="preserve">Process automation: remote parameter adjustment and automatic device replacement</w:t>
      </w:r>
    </w:p>
    <w:p>
      <w:pPr>
        <w:spacing w:after="280" w:before="0"/>
      </w:pPr>
    </w:p>
    <w:p>
      <w:pPr>
        <w:spacing w:after="120" w:before="280"/>
      </w:pPr>
      <w:r>
        <w:rPr>
          <w:rFonts w:ascii="Times New Roman" w:cs="Times New Roman" w:eastAsia="Times New Roman" w:hAnsi="Times New Roman"/>
          <w:b/>
          <w:bCs/>
          <w:sz w:val="24"/>
          <w:szCs w:val="24"/>
        </w:rPr>
        <w:t xml:space="preserve">5.  Conclusions</w:t>
      </w:r>
    </w:p>
    <w:p>
      <w:pPr>
        <w:spacing w:after="160" w:before="0"/>
        <w:jc w:val="both"/>
      </w:pPr>
      <w:r>
        <w:rPr>
          <w:rFonts w:ascii="Times New Roman" w:cs="Times New Roman" w:eastAsia="Times New Roman" w:hAnsi="Times New Roman"/>
          <w:sz w:val="24"/>
          <w:szCs w:val="24"/>
        </w:rPr>
        <w:t xml:space="preserve">IO-Link provides a standardized, last-meter point-to-point link for industrial sensors and actuators, delivering parameterization, diagnostics, and bidirectional process data over existing three-wire cabling. Compared to traditional I/O, it offers richer device data, plug-and-play device management, and real-time event reporting without additional wiring cost.</w:t>
      </w:r>
    </w:p>
    <w:p>
      <w:pPr>
        <w:spacing w:after="0" w:before="0"/>
        <w:jc w:val="both"/>
      </w:pPr>
      <w:r>
        <w:rPr>
          <w:rFonts w:ascii="Times New Roman" w:cs="Times New Roman" w:eastAsia="Times New Roman" w:hAnsi="Times New Roman"/>
          <w:sz w:val="24"/>
          <w:szCs w:val="24"/>
        </w:rPr>
        <w:t xml:space="preserve">Future work will evaluate IO-Link Wireless and integration with OPC UA information models for Industry 4.0 vertical data pipelines.</w:t>
      </w:r>
    </w:p>
    <w:p>
      <w:r>
        <w:br w:type="page"/>
      </w:r>
    </w:p>
    <w:p>
      <w:pPr>
        <w:spacing w:after="120" w:before="280"/>
      </w:pPr>
      <w:r>
        <w:rPr>
          <w:rFonts w:ascii="Times New Roman" w:cs="Times New Roman" w:eastAsia="Times New Roman" w:hAnsi="Times New Roman"/>
          <w:b/>
          <w:bCs/>
          <w:sz w:val="24"/>
          <w:szCs w:val="24"/>
        </w:rPr>
        <w:t xml:space="preserve">References</w:t>
      </w:r>
    </w:p>
    <w:p>
      <w:pPr>
        <w:spacing w:after="60" w:before="60"/>
        <w:ind w:left="480" w:hanging="480"/>
      </w:pPr>
      <w:r>
        <w:rPr>
          <w:rFonts w:ascii="Times New Roman" w:cs="Times New Roman" w:eastAsia="Times New Roman" w:hAnsi="Times New Roman"/>
          <w:sz w:val="24"/>
          <w:szCs w:val="24"/>
        </w:rPr>
        <w:t xml:space="preserve">[1]  International Electrotechnical Commission, IEC 61131-9: Programmable Controllers — Part 9: Single-drop digital communication interface for small sensors and actuators (SDCI), 2013.</w:t>
      </w:r>
    </w:p>
    <w:p>
      <w:pPr>
        <w:spacing w:after="60" w:before="60"/>
        <w:ind w:left="480" w:hanging="480"/>
      </w:pPr>
      <w:r>
        <w:rPr>
          <w:rFonts w:ascii="Times New Roman" w:cs="Times New Roman" w:eastAsia="Times New Roman" w:hAnsi="Times New Roman"/>
          <w:sz w:val="24"/>
          <w:szCs w:val="24"/>
        </w:rPr>
        <w:t xml:space="preserve">[2]  IO-Link Consortium, IO-Link Interface and System Specification, Version 1.1.3, 2019. [Online]. Available: https://io-link.com</w:t>
      </w:r>
    </w:p>
    <w:p>
      <w:pPr>
        <w:spacing w:after="60" w:before="60"/>
        <w:ind w:left="480" w:hanging="480"/>
      </w:pPr>
      <w:r>
        <w:rPr>
          <w:rFonts w:ascii="Times New Roman" w:cs="Times New Roman" w:eastAsia="Times New Roman" w:hAnsi="Times New Roman"/>
          <w:sz w:val="24"/>
          <w:szCs w:val="24"/>
        </w:rPr>
        <w:t xml:space="preserve">[3]  M. Felser, "Real-time ethernet — industry prospective," Proceedings of the IEEE, vol. 93, no. 6, pp. 1118–1129, 2005.</w:t>
      </w:r>
    </w:p>
    <w:p>
      <w:pPr>
        <w:spacing w:after="60" w:before="60"/>
        <w:ind w:left="480" w:hanging="480"/>
      </w:pPr>
      <w:r>
        <w:rPr>
          <w:rFonts w:ascii="Times New Roman" w:cs="Times New Roman" w:eastAsia="Times New Roman" w:hAnsi="Times New Roman"/>
          <w:sz w:val="24"/>
          <w:szCs w:val="24"/>
        </w:rPr>
        <w:t xml:space="preserve">[4]  M. Wollschlaeger, T. Sauter, and J. Jasperneite, "The future of industrial communication," IEEE Industrial Electronics Magazine, vol. 11, no. 1, pp. 17–27, 2017.</w:t>
      </w:r>
    </w:p>
    <w:p>
      <w:pPr>
        <w:spacing w:after="60" w:before="60"/>
        <w:ind w:left="480" w:hanging="480"/>
      </w:pPr>
      <w:r>
        <w:rPr>
          <w:rFonts w:ascii="Times New Roman" w:cs="Times New Roman" w:eastAsia="Times New Roman" w:hAnsi="Times New Roman"/>
          <w:sz w:val="24"/>
          <w:szCs w:val="24"/>
        </w:rPr>
        <w:t xml:space="preserve">[5]  R. Zurawski, Ed., Industrial Communication Technology Handbook, 2nd ed. Boca Raton, FL: CRC Press, 2014.</w:t>
      </w:r>
    </w:p>
    <w:p>
      <w:pPr>
        <w:spacing w:after="60" w:before="60"/>
        <w:ind w:left="480" w:hanging="480"/>
      </w:pPr>
      <w:r>
        <w:rPr>
          <w:rFonts w:ascii="Times New Roman" w:cs="Times New Roman" w:eastAsia="Times New Roman" w:hAnsi="Times New Roman"/>
          <w:sz w:val="24"/>
          <w:szCs w:val="24"/>
        </w:rPr>
        <w:t xml:space="preserve">[6]  A. Bony, P. Pedreiras, and L. Almeida, "Performance characterization of IO-Link," in Proc. IEEE ICIT, 2019, pp. 1–6.</w:t>
      </w:r>
    </w:p>
    <w:p>
      <w:pPr>
        <w:spacing w:after="60" w:before="60"/>
        <w:ind w:left="480" w:hanging="480"/>
      </w:pPr>
      <w:r>
        <w:rPr>
          <w:rFonts w:ascii="Times New Roman" w:cs="Times New Roman" w:eastAsia="Times New Roman" w:hAnsi="Times New Roman"/>
          <w:sz w:val="24"/>
          <w:szCs w:val="24"/>
        </w:rPr>
        <w:t xml:space="preserve">[7]  R. Pigan and M. Metter, Automating with PROFINET, 3rd ed. Erlangen: Publicis, 2017.</w:t>
      </w:r>
    </w:p>
    <w:p>
      <w:pPr>
        <w:spacing w:after="60" w:before="60"/>
        <w:ind w:left="480" w:hanging="480"/>
      </w:pPr>
      <w:r>
        <w:rPr>
          <w:rFonts w:ascii="Times New Roman" w:cs="Times New Roman" w:eastAsia="Times New Roman" w:hAnsi="Times New Roman"/>
          <w:sz w:val="24"/>
          <w:szCs w:val="24"/>
        </w:rPr>
        <w:t xml:space="preserve">[8]  B. Galloway and G. P. Hancke, "Introduction to industrial control networks," IEEE Communications Surveys &amp; Tutorials, vol. 15, no. 2, pp. 860–880, 2013.</w:t>
      </w:r>
    </w:p>
    <w:p>
      <w:pPr>
        <w:spacing w:after="60" w:before="60"/>
        <w:ind w:left="480" w:hanging="480"/>
      </w:pPr>
      <w:r>
        <w:rPr>
          <w:rFonts w:ascii="Times New Roman" w:cs="Times New Roman" w:eastAsia="Times New Roman" w:hAnsi="Times New Roman"/>
          <w:sz w:val="24"/>
          <w:szCs w:val="24"/>
        </w:rPr>
        <w:t xml:space="preserve">[9]  J. Moyne and D. Tilbury, "The emergence of industrial control networks," Proceedings of the IEEE, vol. 95, no. 1, pp. 29–47, 2007.</w:t>
      </w:r>
    </w:p>
    <w:p>
      <w:pPr>
        <w:spacing w:after="60" w:before="60"/>
        <w:ind w:left="480" w:hanging="480"/>
      </w:pPr>
      <w:r>
        <w:rPr>
          <w:rFonts w:ascii="Times New Roman" w:cs="Times New Roman" w:eastAsia="Times New Roman" w:hAnsi="Times New Roman"/>
          <w:sz w:val="24"/>
          <w:szCs w:val="24"/>
        </w:rPr>
        <w:t xml:space="preserve">[10]  D. Loy, D. Dietrich, and H.-J. Schweinzer, Open Control Networks: LonWorks/EIA 709 Technology. Norwell, MA: Kluwer, 2001.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2"/>
      </w:pBdr>
      <w:spacing w:before="8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spacing w:after="80"/>
      <w:jc w:val="right"/>
    </w:pPr>
    <w:r>
      <w:rPr>
        <w:rFonts w:ascii="Times New Roman" w:cs="Times New Roman" w:eastAsia="Times New Roman" w:hAnsi="Times New Roman"/>
        <w:sz w:val="20"/>
        <w:szCs w:val="20"/>
      </w:rPr>
      <w:t xml:space="preserve">IO-Link Communication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2026-05-18T22:57:33.782Z</dcterms:created>
  <dcterms:modified xsi:type="dcterms:W3CDTF">2026-05-18T22:57:33.806Z</dcterms:modified>
</cp:coreProperties>
</file>

<file path=docProps/custom.xml><?xml version="1.0" encoding="utf-8"?>
<Properties xmlns="http://schemas.openxmlformats.org/officeDocument/2006/custom-properties" xmlns:vt="http://schemas.openxmlformats.org/officeDocument/2006/docPropsVTypes"/>
</file>