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19200" cy="3964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al" w:cs="Arial" w:eastAsia="Arial" w:hAnsi="Arial"/>
          <w:color w:val="4285f4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4285f4"/>
          <w:sz w:val="40"/>
          <w:szCs w:val="40"/>
          <w:rtl w:val="0"/>
        </w:rPr>
        <w:t xml:space="preserve">Google Project Management Certificate Completer: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al" w:cs="Arial" w:eastAsia="Arial" w:hAnsi="Arial"/>
          <w:color w:val="666666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Closing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 Report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[Insert summary here]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color w:val="ea43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ea4335"/>
          <w:sz w:val="24"/>
          <w:szCs w:val="24"/>
          <w:rtl w:val="0"/>
        </w:rPr>
        <w:t xml:space="preserve">Key Accomplishments: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4a853"/>
          <w:sz w:val="24"/>
          <w:szCs w:val="24"/>
          <w:rtl w:val="0"/>
        </w:rPr>
        <w:t xml:space="preserve">Lessons Learned: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Arial" w:cs="Arial" w:eastAsia="Arial" w:hAnsi="Arial"/>
          <w:color w:val="fbbc0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bbc05"/>
          <w:sz w:val="24"/>
          <w:szCs w:val="24"/>
          <w:rtl w:val="0"/>
        </w:rPr>
        <w:t xml:space="preserve">Next Steps: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Goals:</w:t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Month Goals: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6 Month Goals: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Year Goals: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5 Year Goals: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561.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