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 w:after="20"/>
      </w:pPr>
      <w:r>
        <w:rPr>
          <w:b/>
          <w:color w:val="FFFFFF"/>
          <w:sz w:val="64"/>
        </w:rPr>
        <w:t>ERP</w:t>
      </w:r>
    </w:p>
    <w:p>
      <w:pPr>
        <w:jc w:val="center"/>
        <w:spacing w:before="0" w:after="10"/>
      </w:pPr>
      <w:r>
        <w:rPr>
          <w:b/>
          <w:color w:val="FFFFFF"/>
          <w:sz w:val="44"/>
        </w:rPr>
        <w:t>Enterprise Resource Planning System</w:t>
      </w:r>
    </w:p>
    <w:p>
      <w:pPr>
        <w:jc w:val="center"/>
        <w:spacing w:before="0" w:after="14"/>
      </w:pPr>
      <w:r>
        <w:rPr>
          <w:b w:val="0"/>
          <w:color w:val="FFFFFF"/>
          <w:sz w:val="26"/>
        </w:rPr>
        <w:t>Software Proposal &amp; Module Selection</w:t>
      </w:r>
    </w:p>
    <w:p>
      <w:pPr>
        <w:jc w:val="center"/>
        <w:spacing w:before="0" w:after="60"/>
      </w:pPr>
      <w:r>
        <w:rPr>
          <w:b w:val="0"/>
          <w:color w:val="B0C4DE"/>
          <w:sz w:val="20"/>
        </w:rPr>
        <w:t>Philippine-Compliant  ·  BIR-Ready  ·  Multi-Branch  ·  Web-Based  ·  TRAIN Act  ·  SSS · PhilHealth · Pag-IBIG</w:t>
      </w:r>
    </w:p>
    <w:tbl>
      <w:tblPr>
        <w:tblStyle w:val="TableGrid"/>
        <w:tblW w:type="auto" w:w="0"/>
        <w:jc w:val="center"/>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703"/>
        <w:gridCol w:w="4703"/>
      </w:tblGrid>
      <w:tr>
        <w:tc>
          <w:tcPr>
            <w:tcW w:type="dxa" w:w="4703"/>
            <w:shd w:val="clear" w:color="auto" w:fill="1E3A5F"/>
          </w:tcPr>
          <w:p>
            <w:pPr>
              <w:jc w:val="left"/>
              <w:spacing w:before="0" w:after="0"/>
            </w:pPr>
            <w:r>
              <w:rPr>
                <w:b w:val="0"/>
                <w:i w:val="0"/>
                <w:color w:val="B0C4DE"/>
                <w:sz w:val="16"/>
              </w:rPr>
              <w:t>PREPARED FOR</w:t>
            </w:r>
          </w:p>
        </w:tc>
        <w:tc>
          <w:tcPr>
            <w:tcW w:type="dxa" w:w="4703"/>
            <w:shd w:val="clear" w:color="auto" w:fill="1E3A5F"/>
          </w:tcPr>
          <w:p>
            <w:pPr>
              <w:jc w:val="left"/>
              <w:spacing w:before="0" w:after="0"/>
            </w:pPr>
            <w:r>
              <w:rPr>
                <w:color w:val="6080A0"/>
                <w:sz w:val="22"/>
              </w:rPr>
              <w:t>______________________________</w:t>
            </w:r>
          </w:p>
        </w:tc>
      </w:tr>
      <w:tr>
        <w:tc>
          <w:tcPr>
            <w:tcW w:type="dxa" w:w="4703"/>
            <w:shd w:val="clear" w:color="auto" w:fill="1E3A5F"/>
          </w:tcPr>
          <w:p>
            <w:pPr>
              <w:jc w:val="left"/>
              <w:spacing w:before="0" w:after="0"/>
            </w:pPr>
            <w:r>
              <w:rPr>
                <w:b w:val="0"/>
                <w:i w:val="0"/>
                <w:color w:val="B0C4DE"/>
                <w:sz w:val="16"/>
              </w:rPr>
              <w:t>PROPOSAL DATE</w:t>
            </w:r>
          </w:p>
        </w:tc>
        <w:tc>
          <w:tcPr>
            <w:tcW w:type="dxa" w:w="4703"/>
            <w:shd w:val="clear" w:color="auto" w:fill="1E3A5F"/>
          </w:tcPr>
          <w:p>
            <w:pPr>
              <w:jc w:val="left"/>
              <w:spacing w:before="0" w:after="0"/>
            </w:pPr>
            <w:r>
              <w:rPr>
                <w:b/>
                <w:i w:val="0"/>
                <w:color w:val="FFFFFF"/>
                <w:sz w:val="22"/>
              </w:rPr>
              <w:t>June 16, 2026</w:t>
            </w:r>
          </w:p>
        </w:tc>
      </w:tr>
      <w:tr>
        <w:tc>
          <w:tcPr>
            <w:tcW w:type="dxa" w:w="4703"/>
            <w:shd w:val="clear" w:color="auto" w:fill="1E3A5F"/>
          </w:tcPr>
          <w:p>
            <w:pPr>
              <w:jc w:val="left"/>
              <w:spacing w:before="0" w:after="0"/>
            </w:pPr>
            <w:r>
              <w:rPr>
                <w:b w:val="0"/>
                <w:i w:val="0"/>
                <w:color w:val="B0C4DE"/>
                <w:sz w:val="16"/>
              </w:rPr>
              <w:t>PREPARED BY</w:t>
            </w:r>
          </w:p>
        </w:tc>
        <w:tc>
          <w:tcPr>
            <w:tcW w:type="dxa" w:w="4703"/>
            <w:shd w:val="clear" w:color="auto" w:fill="1E3A5F"/>
          </w:tcPr>
          <w:p>
            <w:pPr>
              <w:jc w:val="left"/>
              <w:spacing w:before="0" w:after="0"/>
            </w:pPr>
            <w:r>
              <w:rPr>
                <w:color w:val="6080A0"/>
                <w:sz w:val="22"/>
              </w:rPr>
              <w:t>______________________________</w:t>
            </w:r>
          </w:p>
        </w:tc>
      </w:tr>
      <w:tr>
        <w:tc>
          <w:tcPr>
            <w:tcW w:type="dxa" w:w="4703"/>
            <w:shd w:val="clear" w:color="auto" w:fill="1E3A5F"/>
          </w:tcPr>
          <w:p>
            <w:pPr>
              <w:jc w:val="left"/>
              <w:spacing w:before="0" w:after="0"/>
            </w:pPr>
            <w:r>
              <w:rPr>
                <w:b w:val="0"/>
                <w:i w:val="0"/>
                <w:color w:val="B0C4DE"/>
                <w:sz w:val="16"/>
              </w:rPr>
              <w:t>VALID UNTIL</w:t>
            </w:r>
          </w:p>
        </w:tc>
        <w:tc>
          <w:tcPr>
            <w:tcW w:type="dxa" w:w="4703"/>
            <w:shd w:val="clear" w:color="auto" w:fill="1E3A5F"/>
          </w:tcPr>
          <w:p>
            <w:pPr>
              <w:jc w:val="left"/>
              <w:spacing w:before="0" w:after="0"/>
            </w:pPr>
            <w:r>
              <w:rPr>
                <w:color w:val="6080A0"/>
                <w:sz w:val="22"/>
              </w:rPr>
              <w:t>______________________________</w:t>
            </w:r>
          </w:p>
        </w:tc>
      </w:tr>
    </w:tbl>
    <w:p>
      <w:r>
        <w:br w:type="page"/>
      </w:r>
    </w:p>
    <w:p>
      <w:pPr>
        <w:spacing w:before="160" w:after="60"/>
        <w:pBdr>
          <w:bottom w:val="single" w:sz="6" w:space="1" w:color="1E3A5F"/>
        </w:pBdr>
      </w:pPr>
      <w:r>
        <w:rPr>
          <w:b/>
          <w:color w:val="FFFFFF"/>
          <w:sz w:val="22"/>
          <w:shd w:val="clear" w:color="auto" w:fill="1E3A5F"/>
        </w:rPr>
        <w:t xml:space="preserve">  1  </w:t>
      </w:r>
      <w:r>
        <w:rPr>
          <w:b/>
          <w:color w:val="1E3A5F"/>
          <w:sz w:val="28"/>
        </w:rPr>
        <w:t xml:space="preserve">   Executive Summary</w:t>
      </w:r>
    </w:p>
    <w:tbl>
      <w:tblPr>
        <w:tblW w:type="auto" w:w="0"/>
        <w:jc w:val="left"/>
        <w:tblLook w:firstColumn="1" w:firstRow="1" w:lastColumn="0" w:lastRow="0" w:noHBand="0" w:noVBand="1" w:val="04A0"/>
        <w:tblBorders>
          <w:top w:val="single" w:sz="4" w:space="0" w:color="F0F4F8"/>
          <w:left w:val="single" w:sz="4" w:space="0" w:color="F0F4F8"/>
          <w:bottom w:val="single" w:sz="4" w:space="0" w:color="F0F4F8"/>
          <w:right w:val="single" w:sz="4" w:space="0" w:color="F0F4F8"/>
          <w:insideH w:val="single" w:sz="4" w:space="0" w:color="F0F4F8"/>
          <w:insideV w:val="single" w:sz="4" w:space="0" w:color="F0F4F8"/>
        </w:tblBorders>
      </w:tblPr>
      <w:tblGrid>
        <w:gridCol w:w="4703"/>
        <w:gridCol w:w="4703"/>
      </w:tblGrid>
      <w:tr>
        <w:tc>
          <w:tcPr>
            <w:tcW w:type="dxa" w:w="198"/>
            <w:shd w:val="clear" w:color="auto" w:fill="2563EB"/>
          </w:tcPr>
          <w:p>
            <w:pPr>
              <w:jc w:val="left"/>
              <w:spacing w:before="0" w:after="0"/>
            </w:pPr>
          </w:p>
        </w:tc>
        <w:tc>
          <w:tcPr>
            <w:tcW w:type="dxa" w:w="4703"/>
            <w:shd w:val="clear" w:color="auto" w:fill="F0F4F8"/>
          </w:tcPr>
          <w:p>
            <w:pPr>
              <w:jc w:val="left"/>
              <w:spacing w:before="0" w:after="0"/>
              <w:spacing w:before="60" w:after="60"/>
            </w:pPr>
            <w:r>
              <w:rPr>
                <w:b w:val="0"/>
                <w:i w:val="0"/>
                <w:color w:val="1E3A5F"/>
                <w:sz w:val="20"/>
              </w:rPr>
              <w:t>This proposal outlines a fully custom-built Enterprise Resource Planning (ERP) system tailored for Philippine small and medium-sized enterprises. The system consolidates all core business functions — accounting, purchasing, sales, inventory, payroll, and production — into a single, integrated, web-based platform accessible from any device.</w:t>
            </w:r>
          </w:p>
        </w:tc>
      </w:tr>
    </w:tbl>
    <w:p/>
    <w:p>
      <w:pPr>
        <w:spacing w:before="0" w:after="80"/>
      </w:pPr>
      <w:r>
        <w:rPr>
          <w:b w:val="0"/>
          <w:i w:val="0"/>
          <w:color w:val="374151"/>
          <w:sz w:val="20"/>
        </w:rPr>
        <w:t>The ERP is built around Philippine regulatory requirements from the ground up: BIR VAT and withholding tax rules, TRAIN Act income tax tables, and mandatory government contributions (SSS, PhilHealth, Pag-IBIG). All financial reports and data exports are formatted for BIR compliance.</w:t>
      </w:r>
    </w:p>
    <w:p>
      <w:pPr>
        <w:spacing w:before="0" w:after="80"/>
      </w:pPr>
      <w:r>
        <w:rPr>
          <w:b w:val="0"/>
          <w:i w:val="0"/>
          <w:color w:val="374151"/>
          <w:sz w:val="20"/>
        </w:rPr>
        <w:t>The system is modular. A core Foundation package is always included. Every additional module is optional — the client selects only what the business needs today, and more modules can be added at any time without rebuilding the system.</w:t>
      </w:r>
    </w:p>
    <w:p>
      <w:pPr>
        <w:spacing w:before="160" w:after="60"/>
        <w:pBdr>
          <w:bottom w:val="single" w:sz="6" w:space="1" w:color="1E3A5F"/>
        </w:pBdr>
      </w:pPr>
      <w:r>
        <w:rPr>
          <w:b/>
          <w:color w:val="FFFFFF"/>
          <w:sz w:val="22"/>
          <w:shd w:val="clear" w:color="auto" w:fill="1E3A5F"/>
        </w:rPr>
        <w:t xml:space="preserve">  2  </w:t>
      </w:r>
      <w:r>
        <w:rPr>
          <w:b/>
          <w:color w:val="1E3A5F"/>
          <w:sz w:val="28"/>
        </w:rPr>
        <w:t xml:space="preserve">   System Overview</w:t>
      </w:r>
    </w:p>
    <w:p>
      <w:pPr>
        <w:spacing w:before="0" w:after="80"/>
      </w:pPr>
      <w:r>
        <w:rPr>
          <w:b w:val="0"/>
          <w:i w:val="0"/>
          <w:color w:val="374151"/>
          <w:sz w:val="20"/>
        </w:rPr>
        <w:t>All modules share a common foundation: one database, unified user access control, a full audit trail, and a consistent interface across every screen. The table below summarizes the functional areas available.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703"/>
        <w:gridCol w:w="4703"/>
      </w:tblGrid>
      <w:tr>
        <w:tc>
          <w:tcPr>
            <w:tcW w:type="dxa" w:w="3118"/>
            <w:shd w:val="clear" w:color="auto" w:fill="F0F4F8"/>
          </w:tcPr>
          <w:p>
            <w:pPr>
              <w:jc w:val="left"/>
              <w:spacing w:before="0" w:after="0"/>
              <w:spacing w:before="40" w:after="40"/>
            </w:pPr>
            <w:r>
              <w:rPr>
                <w:b/>
                <w:i w:val="0"/>
                <w:color w:val="1E3A5F"/>
                <w:sz w:val="19"/>
              </w:rPr>
              <w:t>Functional Area</w:t>
            </w:r>
          </w:p>
        </w:tc>
        <w:tc>
          <w:tcPr>
            <w:tcW w:type="dxa" w:w="6236"/>
            <w:shd w:val="clear" w:color="auto" w:fill="F0F4F8"/>
          </w:tcPr>
          <w:p>
            <w:pPr>
              <w:jc w:val="left"/>
              <w:spacing w:before="0" w:after="0"/>
              <w:spacing w:before="40" w:after="40"/>
            </w:pPr>
            <w:r>
              <w:rPr>
                <w:b/>
                <w:i w:val="0"/>
                <w:color w:val="1E3A5F"/>
                <w:sz w:val="19"/>
              </w:rPr>
              <w:t>What It Covers</w:t>
            </w:r>
          </w:p>
        </w:tc>
      </w:tr>
      <w:tr>
        <w:tc>
          <w:tcPr>
            <w:tcW w:type="dxa" w:w="3118"/>
          </w:tcPr>
          <w:p>
            <w:pPr>
              <w:jc w:val="left"/>
              <w:spacing w:before="0" w:after="0"/>
              <w:spacing w:before="40" w:after="40"/>
            </w:pPr>
            <w:r>
              <w:rPr>
                <w:b/>
                <w:i w:val="0"/>
                <w:color w:val="374151"/>
                <w:sz w:val="19"/>
              </w:rPr>
              <w:t>Foundation</w:t>
            </w:r>
          </w:p>
        </w:tc>
        <w:tc>
          <w:tcPr>
            <w:tcW w:type="dxa" w:w="6236"/>
          </w:tcPr>
          <w:p>
            <w:pPr>
              <w:jc w:val="left"/>
              <w:spacing w:before="0" w:after="0"/>
              <w:spacing w:before="40" w:after="40"/>
            </w:pPr>
            <w:r>
              <w:rPr>
                <w:b w:val="0"/>
                <w:i w:val="0"/>
                <w:color w:val="374151"/>
                <w:sz w:val="19"/>
              </w:rPr>
              <w:t>Chart of accounts, double-entry journals, accounting periods, user roles, multi-branch, audit trail</w:t>
            </w:r>
          </w:p>
        </w:tc>
      </w:tr>
      <w:tr>
        <w:tc>
          <w:tcPr>
            <w:tcW w:type="dxa" w:w="3118"/>
            <w:shd w:val="clear" w:color="auto" w:fill="F3F4F6"/>
          </w:tcPr>
          <w:p>
            <w:pPr>
              <w:jc w:val="left"/>
              <w:spacing w:before="0" w:after="0"/>
              <w:spacing w:before="40" w:after="40"/>
            </w:pPr>
            <w:r>
              <w:rPr>
                <w:b/>
                <w:i w:val="0"/>
                <w:color w:val="374151"/>
                <w:sz w:val="19"/>
              </w:rPr>
              <w:t>Financial Management</w:t>
            </w:r>
          </w:p>
        </w:tc>
        <w:tc>
          <w:tcPr>
            <w:tcW w:type="dxa" w:w="6236"/>
            <w:shd w:val="clear" w:color="auto" w:fill="F3F4F6"/>
          </w:tcPr>
          <w:p>
            <w:pPr>
              <w:jc w:val="left"/>
              <w:spacing w:before="0" w:after="0"/>
              <w:spacing w:before="40" w:after="40"/>
            </w:pPr>
            <w:r>
              <w:rPr>
                <w:b w:val="0"/>
                <w:i w:val="0"/>
                <w:color w:val="374151"/>
                <w:sz w:val="19"/>
              </w:rPr>
              <w:t>Accounts receivable, accounts payable, cash receipts, disbursements, fixed assets, bank reconciliation, budgeting</w:t>
            </w:r>
          </w:p>
        </w:tc>
      </w:tr>
      <w:tr>
        <w:tc>
          <w:tcPr>
            <w:tcW w:type="dxa" w:w="3118"/>
          </w:tcPr>
          <w:p>
            <w:pPr>
              <w:jc w:val="left"/>
              <w:spacing w:before="0" w:after="0"/>
              <w:spacing w:before="40" w:after="40"/>
            </w:pPr>
            <w:r>
              <w:rPr>
                <w:b/>
                <w:i w:val="0"/>
                <w:color w:val="374151"/>
                <w:sz w:val="19"/>
              </w:rPr>
              <w:t>BIR Tax Compliance</w:t>
            </w:r>
          </w:p>
        </w:tc>
        <w:tc>
          <w:tcPr>
            <w:tcW w:type="dxa" w:w="6236"/>
          </w:tcPr>
          <w:p>
            <w:pPr>
              <w:jc w:val="left"/>
              <w:spacing w:before="0" w:after="0"/>
              <w:spacing w:before="40" w:after="40"/>
            </w:pPr>
            <w:r>
              <w:rPr>
                <w:b w:val="0"/>
                <w:i w:val="0"/>
                <w:color w:val="374151"/>
                <w:sz w:val="19"/>
              </w:rPr>
              <w:t>VAT input/output, withholding tax codes, BIR summary lists, alphalist, form generation</w:t>
            </w:r>
          </w:p>
        </w:tc>
      </w:tr>
      <w:tr>
        <w:tc>
          <w:tcPr>
            <w:tcW w:type="dxa" w:w="3118"/>
            <w:shd w:val="clear" w:color="auto" w:fill="F3F4F6"/>
          </w:tcPr>
          <w:p>
            <w:pPr>
              <w:jc w:val="left"/>
              <w:spacing w:before="0" w:after="0"/>
              <w:spacing w:before="40" w:after="40"/>
            </w:pPr>
            <w:r>
              <w:rPr>
                <w:b/>
                <w:i w:val="0"/>
                <w:color w:val="374151"/>
                <w:sz w:val="19"/>
              </w:rPr>
              <w:t>Sales Cycle</w:t>
            </w:r>
          </w:p>
        </w:tc>
        <w:tc>
          <w:tcPr>
            <w:tcW w:type="dxa" w:w="6236"/>
            <w:shd w:val="clear" w:color="auto" w:fill="F3F4F6"/>
          </w:tcPr>
          <w:p>
            <w:pPr>
              <w:jc w:val="left"/>
              <w:spacing w:before="0" w:after="0"/>
              <w:spacing w:before="40" w:after="40"/>
            </w:pPr>
            <w:r>
              <w:rPr>
                <w:b w:val="0"/>
                <w:i w:val="0"/>
                <w:color w:val="374151"/>
                <w:sz w:val="19"/>
              </w:rPr>
              <w:t>Customer master, sales quotations, sales orders, delivery receipts, price lists</w:t>
            </w:r>
          </w:p>
        </w:tc>
      </w:tr>
      <w:tr>
        <w:tc>
          <w:tcPr>
            <w:tcW w:type="dxa" w:w="3118"/>
          </w:tcPr>
          <w:p>
            <w:pPr>
              <w:jc w:val="left"/>
              <w:spacing w:before="0" w:after="0"/>
              <w:spacing w:before="40" w:after="40"/>
            </w:pPr>
            <w:r>
              <w:rPr>
                <w:b/>
                <w:i w:val="0"/>
                <w:color w:val="374151"/>
                <w:sz w:val="19"/>
              </w:rPr>
              <w:t>Procurement Cycle</w:t>
            </w:r>
          </w:p>
        </w:tc>
        <w:tc>
          <w:tcPr>
            <w:tcW w:type="dxa" w:w="6236"/>
          </w:tcPr>
          <w:p>
            <w:pPr>
              <w:jc w:val="left"/>
              <w:spacing w:before="0" w:after="0"/>
              <w:spacing w:before="40" w:after="40"/>
            </w:pPr>
            <w:r>
              <w:rPr>
                <w:b w:val="0"/>
                <w:i w:val="0"/>
                <w:color w:val="374151"/>
                <w:sz w:val="19"/>
              </w:rPr>
              <w:t>Vendor master, purchase requests, purchase orders, receiving reports, 3-way matching</w:t>
            </w:r>
          </w:p>
        </w:tc>
      </w:tr>
      <w:tr>
        <w:tc>
          <w:tcPr>
            <w:tcW w:type="dxa" w:w="3118"/>
            <w:shd w:val="clear" w:color="auto" w:fill="F3F4F6"/>
          </w:tcPr>
          <w:p>
            <w:pPr>
              <w:jc w:val="left"/>
              <w:spacing w:before="0" w:after="0"/>
              <w:spacing w:before="40" w:after="40"/>
            </w:pPr>
            <w:r>
              <w:rPr>
                <w:b/>
                <w:i w:val="0"/>
                <w:color w:val="374151"/>
                <w:sz w:val="19"/>
              </w:rPr>
              <w:t>Inventory Management</w:t>
            </w:r>
          </w:p>
        </w:tc>
        <w:tc>
          <w:tcPr>
            <w:tcW w:type="dxa" w:w="6236"/>
            <w:shd w:val="clear" w:color="auto" w:fill="F3F4F6"/>
          </w:tcPr>
          <w:p>
            <w:pPr>
              <w:jc w:val="left"/>
              <w:spacing w:before="0" w:after="0"/>
              <w:spacing w:before="40" w:after="40"/>
            </w:pPr>
            <w:r>
              <w:rPr>
                <w:b w:val="0"/>
                <w:i w:val="0"/>
                <w:color w:val="374151"/>
                <w:sz w:val="19"/>
              </w:rPr>
              <w:t>Item master, stock movements, inventory valuation, physical count, reorder alerts</w:t>
            </w:r>
          </w:p>
        </w:tc>
      </w:tr>
      <w:tr>
        <w:tc>
          <w:tcPr>
            <w:tcW w:type="dxa" w:w="3118"/>
          </w:tcPr>
          <w:p>
            <w:pPr>
              <w:jc w:val="left"/>
              <w:spacing w:before="0" w:after="0"/>
              <w:spacing w:before="40" w:after="40"/>
            </w:pPr>
            <w:r>
              <w:rPr>
                <w:b/>
                <w:i w:val="0"/>
                <w:color w:val="374151"/>
                <w:sz w:val="19"/>
              </w:rPr>
              <w:t>Human Resources &amp; Payroll</w:t>
            </w:r>
          </w:p>
        </w:tc>
        <w:tc>
          <w:tcPr>
            <w:tcW w:type="dxa" w:w="6236"/>
          </w:tcPr>
          <w:p>
            <w:pPr>
              <w:jc w:val="left"/>
              <w:spacing w:before="0" w:after="0"/>
              <w:spacing w:before="40" w:after="40"/>
            </w:pPr>
            <w:r>
              <w:rPr>
                <w:b w:val="0"/>
                <w:i w:val="0"/>
                <w:color w:val="374151"/>
                <w:sz w:val="19"/>
              </w:rPr>
              <w:t>Employee records, payroll computation, government remittances, leave management, payslips</w:t>
            </w:r>
          </w:p>
        </w:tc>
      </w:tr>
      <w:tr>
        <w:tc>
          <w:tcPr>
            <w:tcW w:type="dxa" w:w="3118"/>
            <w:shd w:val="clear" w:color="auto" w:fill="F3F4F6"/>
          </w:tcPr>
          <w:p>
            <w:pPr>
              <w:jc w:val="left"/>
              <w:spacing w:before="0" w:after="0"/>
              <w:spacing w:before="40" w:after="40"/>
            </w:pPr>
            <w:r>
              <w:rPr>
                <w:b/>
                <w:i w:val="0"/>
                <w:color w:val="374151"/>
                <w:sz w:val="19"/>
              </w:rPr>
              <w:t>Production / Manufacturing</w:t>
            </w:r>
          </w:p>
        </w:tc>
        <w:tc>
          <w:tcPr>
            <w:tcW w:type="dxa" w:w="6236"/>
            <w:shd w:val="clear" w:color="auto" w:fill="F3F4F6"/>
          </w:tcPr>
          <w:p>
            <w:pPr>
              <w:jc w:val="left"/>
              <w:spacing w:before="0" w:after="0"/>
              <w:spacing w:before="40" w:after="40"/>
            </w:pPr>
            <w:r>
              <w:rPr>
                <w:b w:val="0"/>
                <w:i w:val="0"/>
                <w:color w:val="374151"/>
                <w:sz w:val="19"/>
              </w:rPr>
              <w:t>Bill of materials, work orders, production costing, variance reports</w:t>
            </w:r>
          </w:p>
        </w:tc>
      </w:tr>
      <w:tr>
        <w:tc>
          <w:tcPr>
            <w:tcW w:type="dxa" w:w="3118"/>
          </w:tcPr>
          <w:p>
            <w:pPr>
              <w:jc w:val="left"/>
              <w:spacing w:before="0" w:after="0"/>
              <w:spacing w:before="40" w:after="40"/>
            </w:pPr>
            <w:r>
              <w:rPr>
                <w:b/>
                <w:i w:val="0"/>
                <w:color w:val="374151"/>
                <w:sz w:val="19"/>
              </w:rPr>
              <w:t>Reporting &amp; Analytics</w:t>
            </w:r>
          </w:p>
        </w:tc>
        <w:tc>
          <w:tcPr>
            <w:tcW w:type="dxa" w:w="6236"/>
          </w:tcPr>
          <w:p>
            <w:pPr>
              <w:jc w:val="left"/>
              <w:spacing w:before="0" w:after="0"/>
              <w:spacing w:before="40" w:after="40"/>
            </w:pPr>
            <w:r>
              <w:rPr>
                <w:b w:val="0"/>
                <w:i w:val="0"/>
                <w:color w:val="374151"/>
                <w:sz w:val="19"/>
              </w:rPr>
              <w:t>Financial statements, aging reports, cash flow, management dashboards, Excel/CSV export</w:t>
            </w:r>
          </w:p>
        </w:tc>
      </w:tr>
      <w:tr>
        <w:tc>
          <w:tcPr>
            <w:tcW w:type="dxa" w:w="3118"/>
            <w:shd w:val="clear" w:color="auto" w:fill="F3F4F6"/>
          </w:tcPr>
          <w:p>
            <w:pPr>
              <w:jc w:val="left"/>
              <w:spacing w:before="0" w:after="0"/>
              <w:spacing w:before="40" w:after="40"/>
            </w:pPr>
            <w:r>
              <w:rPr>
                <w:b/>
                <w:i w:val="0"/>
                <w:color w:val="374151"/>
                <w:sz w:val="19"/>
              </w:rPr>
              <w:t>System &amp; Integrations</w:t>
            </w:r>
          </w:p>
        </w:tc>
        <w:tc>
          <w:tcPr>
            <w:tcW w:type="dxa" w:w="6236"/>
            <w:shd w:val="clear" w:color="auto" w:fill="F3F4F6"/>
          </w:tcPr>
          <w:p>
            <w:pPr>
              <w:jc w:val="left"/>
              <w:spacing w:before="0" w:after="0"/>
              <w:spacing w:before="40" w:after="40"/>
            </w:pPr>
            <w:r>
              <w:rPr>
                <w:b w:val="0"/>
                <w:i w:val="0"/>
                <w:color w:val="374151"/>
                <w:sz w:val="19"/>
              </w:rPr>
              <w:t>Document attachments, email alerts, bulk import, multi-currency, API access</w:t>
            </w:r>
          </w:p>
        </w:tc>
      </w:tr>
    </w:tbl>
    <w:p/>
    <w:p>
      <w:pPr>
        <w:spacing w:before="160" w:after="60"/>
        <w:pBdr>
          <w:bottom w:val="single" w:sz="6" w:space="1" w:color="1E3A5F"/>
        </w:pBdr>
      </w:pPr>
      <w:r>
        <w:rPr>
          <w:b/>
          <w:color w:val="FFFFFF"/>
          <w:sz w:val="22"/>
          <w:shd w:val="clear" w:color="auto" w:fill="1E3A5F"/>
        </w:rPr>
        <w:t xml:space="preserve">  3  </w:t>
      </w:r>
      <w:r>
        <w:rPr>
          <w:b/>
          <w:color w:val="1E3A5F"/>
          <w:sz w:val="28"/>
        </w:rPr>
        <w:t xml:space="preserve">   Module Selection</w:t>
      </w:r>
    </w:p>
    <w:p>
      <w:pPr>
        <w:spacing w:before="0" w:after="80"/>
      </w:pPr>
      <w:r>
        <w:rPr>
          <w:b w:val="0"/>
          <w:i w:val="0"/>
          <w:color w:val="374151"/>
          <w:sz w:val="20"/>
        </w:rPr>
        <w:t>Please place a check mark next to every module you wish to include. The Foundation block is mandatory and included in all packages. All other modules are optional add-ons.</w:t>
      </w:r>
    </w:p>
    <w:tbl>
      <w:tblPr>
        <w:tblW w:type="auto" w:w="0"/>
        <w:jc w:val="left"/>
        <w:tblLook w:firstColumn="1" w:firstRow="1" w:lastColumn="0" w:lastRow="0" w:noHBand="0" w:noVBand="1" w:val="04A0"/>
        <w:tblBorders>
          <w:top w:val="single" w:sz="4" w:space="0" w:color="FCD34D"/>
          <w:left w:val="single" w:sz="4" w:space="0" w:color="FCD34D"/>
          <w:bottom w:val="single" w:sz="4" w:space="0" w:color="FCD34D"/>
          <w:right w:val="single" w:sz="4" w:space="0" w:color="FCD34D"/>
          <w:insideH w:val="single" w:sz="4" w:space="0" w:color="FCD34D"/>
          <w:insideV w:val="single" w:sz="4" w:space="0" w:color="FCD34D"/>
        </w:tblBorders>
      </w:tblPr>
      <w:tblGrid>
        <w:gridCol w:w="9406"/>
      </w:tblGrid>
      <w:tr>
        <w:tc>
          <w:tcPr>
            <w:tcW w:type="dxa" w:w="9406"/>
            <w:shd w:val="clear" w:color="auto" w:fill="FFFBEB"/>
          </w:tcPr>
          <w:p>
            <w:pPr>
              <w:jc w:val="left"/>
              <w:spacing w:before="0" w:after="0"/>
              <w:spacing w:before="60" w:after="60"/>
            </w:pPr>
            <w:r>
              <w:rPr>
                <w:b w:val="0"/>
                <w:i w:val="0"/>
                <w:color w:val="78350F"/>
                <w:sz w:val="19"/>
              </w:rPr>
              <w:t>Instructions: Check the modules your business needs. If you are unsure about a module, leave it unchecked — we can discuss it separately. Additional modules may be added in a future phase at any time. Pricing and timeline will be finalized based on your selections.</w:t>
            </w:r>
          </w:p>
        </w:tc>
      </w:tr>
    </w:tbl>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406"/>
      </w:tblGrid>
      <w:tr>
        <w:tc>
          <w:tcPr>
            <w:tcW w:type="dxa" w:w="9406"/>
            <w:shd w:val="clear" w:color="auto" w:fill="059669"/>
          </w:tcPr>
          <w:p>
            <w:pPr>
              <w:jc w:val="left"/>
              <w:spacing w:before="0" w:after="0"/>
              <w:spacing w:before="60" w:after="60"/>
            </w:pPr>
            <w:r>
              <w:rPr>
                <w:b/>
                <w:i w:val="0"/>
                <w:color w:val="FFFFFF"/>
                <w:sz w:val="20"/>
              </w:rPr>
              <w:t>🏛  Foundation — Always Included  ✓ INCLUDED IN ALL PACKAGES</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680"/>
            <w:shd w:val="clear" w:color="auto" w:fill="F3F4F6"/>
          </w:tcPr>
          <w:p>
            <w:pPr>
              <w:jc w:val="left"/>
              <w:spacing w:before="0" w:after="0"/>
              <w:spacing w:before="30" w:after="30"/>
            </w:pPr>
          </w:p>
        </w:tc>
        <w:tc>
          <w:tcPr>
            <w:tcW w:type="dxa" w:w="7087"/>
            <w:shd w:val="clear" w:color="auto" w:fill="F3F4F6"/>
          </w:tcPr>
          <w:p>
            <w:pPr>
              <w:jc w:val="left"/>
              <w:spacing w:before="0" w:after="0"/>
              <w:spacing w:before="30" w:after="30"/>
            </w:pPr>
            <w:r>
              <w:rPr>
                <w:b/>
                <w:i w:val="0"/>
                <w:color w:val="6B7280"/>
                <w:sz w:val="17"/>
              </w:rPr>
              <w:t>Module</w:t>
            </w:r>
          </w:p>
        </w:tc>
        <w:tc>
          <w:tcPr>
            <w:tcW w:type="dxa" w:w="1587"/>
            <w:shd w:val="clear" w:color="auto" w:fill="F3F4F6"/>
          </w:tcPr>
          <w:p>
            <w:pPr>
              <w:jc w:val="left"/>
              <w:spacing w:before="0" w:after="0"/>
              <w:spacing w:before="30" w:after="30"/>
            </w:pPr>
            <w:r>
              <w:rPr>
                <w:b/>
                <w:i w:val="0"/>
                <w:color w:val="6B7280"/>
                <w:sz w:val="17"/>
              </w:rPr>
              <w:t>Cost (PHP)</w:t>
            </w:r>
          </w:p>
        </w:tc>
      </w:tr>
      <w:tr>
        <w:tc>
          <w:tcPr>
            <w:tcW w:type="dxa" w:w="680"/>
            <w:shd w:val="clear" w:color="auto" w:fill="F0FDF4"/>
            <w:vAlign w:val="top"/>
          </w:tcPr>
          <w:p>
            <w:pPr>
              <w:jc w:val="center"/>
              <w:spacing w:before="0" w:after="0"/>
              <w:spacing w:before="60" w:after="0"/>
            </w:pPr>
            <w:r>
              <w:rPr>
                <w:b/>
                <w:i w:val="0"/>
                <w:color w:val="059669"/>
                <w:sz w:val="24"/>
              </w:rPr>
              <w:t>✓</w:t>
            </w:r>
          </w:p>
        </w:tc>
        <w:tc>
          <w:tcPr>
            <w:tcW w:type="dxa" w:w="7087"/>
            <w:shd w:val="clear" w:color="auto" w:fill="F0FDF4"/>
            <w:vAlign w:val="top"/>
          </w:tcPr>
          <w:p>
            <w:pPr>
              <w:jc w:val="left"/>
              <w:spacing w:before="0" w:after="0"/>
              <w:spacing w:before="60" w:after="20"/>
            </w:pPr>
            <w:r>
              <w:rPr>
                <w:b/>
                <w:color w:val="111827"/>
                <w:sz w:val="20"/>
              </w:rPr>
              <w:t>Chart of Accounts</w:t>
            </w:r>
          </w:p>
          <w:p>
            <w:pPr>
              <w:spacing w:before="0" w:after="0"/>
              <w:spacing w:before="0" w:after="30"/>
            </w:pPr>
            <w:r>
              <w:rPr>
                <w:i/>
                <w:color w:val="6B7280"/>
                <w:sz w:val="18"/>
              </w:rPr>
              <w:t>Hierarchical general ledger accounts: Asset, Liability, Equity, Revenue, Expense</w:t>
            </w:r>
          </w:p>
          <w:p>
            <w:pPr>
              <w:spacing w:before="0" w:after="0"/>
              <w:spacing w:before="0" w:after="60"/>
            </w:pPr>
            <w:r>
              <w:rPr>
                <w:color w:val="4B5563"/>
                <w:sz w:val="17"/>
              </w:rPr>
              <w:t>Account codes &amp; names  ·  Parent-child hierarchy  ·  Account types &amp; classification</w:t>
            </w:r>
          </w:p>
        </w:tc>
        <w:tc>
          <w:tcPr>
            <w:tcW w:type="dxa" w:w="1587"/>
            <w:shd w:val="clear" w:color="auto" w:fill="F0FDF4"/>
            <w:vAlign w:val="top"/>
          </w:tcPr>
          <w:p>
            <w:pPr>
              <w:jc w:val="right"/>
              <w:spacing w:before="0" w:after="0"/>
              <w:spacing w:before="60" w:after="0"/>
            </w:pPr>
            <w:r>
              <w:rPr>
                <w:b w:val="0"/>
                <w:i w:val="0"/>
                <w:color w:val="6B7280"/>
                <w:sz w:val="18"/>
              </w:rPr>
              <w:t>Included</w:t>
            </w:r>
          </w:p>
        </w:tc>
      </w:tr>
      <w:tr>
        <w:tc>
          <w:tcPr>
            <w:tcW w:type="dxa" w:w="680"/>
            <w:shd w:val="clear" w:color="auto" w:fill="F0FDF4"/>
            <w:vAlign w:val="top"/>
          </w:tcPr>
          <w:p>
            <w:pPr>
              <w:jc w:val="center"/>
              <w:spacing w:before="0" w:after="0"/>
              <w:spacing w:before="60" w:after="0"/>
            </w:pPr>
            <w:r>
              <w:rPr>
                <w:b/>
                <w:i w:val="0"/>
                <w:color w:val="059669"/>
                <w:sz w:val="24"/>
              </w:rPr>
              <w:t>✓</w:t>
            </w:r>
          </w:p>
        </w:tc>
        <w:tc>
          <w:tcPr>
            <w:tcW w:type="dxa" w:w="7087"/>
            <w:shd w:val="clear" w:color="auto" w:fill="F0FDF4"/>
            <w:vAlign w:val="top"/>
          </w:tcPr>
          <w:p>
            <w:pPr>
              <w:jc w:val="left"/>
              <w:spacing w:before="0" w:after="0"/>
              <w:spacing w:before="60" w:after="20"/>
            </w:pPr>
            <w:r>
              <w:rPr>
                <w:b/>
                <w:color w:val="111827"/>
                <w:sz w:val="20"/>
              </w:rPr>
              <w:t>Journal Entries &amp; General Ledger</w:t>
            </w:r>
          </w:p>
          <w:p>
            <w:pPr>
              <w:spacing w:before="0" w:after="0"/>
              <w:spacing w:before="0" w:after="30"/>
            </w:pPr>
            <w:r>
              <w:rPr>
                <w:i/>
                <w:color w:val="6B7280"/>
                <w:sz w:val="18"/>
              </w:rPr>
              <w:t>Double-entry bookkeeping, manual adjustments, reversals, and auto-generated entries from all transactions</w:t>
            </w:r>
          </w:p>
          <w:p>
            <w:pPr>
              <w:spacing w:before="0" w:after="0"/>
              <w:spacing w:before="0" w:after="60"/>
            </w:pPr>
            <w:r>
              <w:rPr>
                <w:color w:val="4B5563"/>
                <w:sz w:val="17"/>
              </w:rPr>
              <w:t>Draft → Posted workflow  ·  Auto-balance validation  ·  Reversing entries  ·  Adjustment / closing / reclassification types</w:t>
            </w:r>
          </w:p>
        </w:tc>
        <w:tc>
          <w:tcPr>
            <w:tcW w:type="dxa" w:w="1587"/>
            <w:shd w:val="clear" w:color="auto" w:fill="F0FDF4"/>
            <w:vAlign w:val="top"/>
          </w:tcPr>
          <w:p>
            <w:pPr>
              <w:jc w:val="right"/>
              <w:spacing w:before="0" w:after="0"/>
              <w:spacing w:before="60" w:after="0"/>
            </w:pPr>
            <w:r>
              <w:rPr>
                <w:b w:val="0"/>
                <w:i w:val="0"/>
                <w:color w:val="6B7280"/>
                <w:sz w:val="18"/>
              </w:rPr>
              <w:t>Included</w:t>
            </w:r>
          </w:p>
        </w:tc>
      </w:tr>
      <w:tr>
        <w:tc>
          <w:tcPr>
            <w:tcW w:type="dxa" w:w="680"/>
            <w:shd w:val="clear" w:color="auto" w:fill="F0FDF4"/>
            <w:vAlign w:val="top"/>
          </w:tcPr>
          <w:p>
            <w:pPr>
              <w:jc w:val="center"/>
              <w:spacing w:before="0" w:after="0"/>
              <w:spacing w:before="60" w:after="0"/>
            </w:pPr>
            <w:r>
              <w:rPr>
                <w:b/>
                <w:i w:val="0"/>
                <w:color w:val="059669"/>
                <w:sz w:val="24"/>
              </w:rPr>
              <w:t>✓</w:t>
            </w:r>
          </w:p>
        </w:tc>
        <w:tc>
          <w:tcPr>
            <w:tcW w:type="dxa" w:w="7087"/>
            <w:shd w:val="clear" w:color="auto" w:fill="F0FDF4"/>
            <w:vAlign w:val="top"/>
          </w:tcPr>
          <w:p>
            <w:pPr>
              <w:jc w:val="left"/>
              <w:spacing w:before="0" w:after="0"/>
              <w:spacing w:before="60" w:after="20"/>
            </w:pPr>
            <w:r>
              <w:rPr>
                <w:b/>
                <w:color w:val="111827"/>
                <w:sz w:val="20"/>
              </w:rPr>
              <w:t>Accounting Periods</w:t>
            </w:r>
          </w:p>
          <w:p>
            <w:pPr>
              <w:spacing w:before="0" w:after="0"/>
              <w:spacing w:before="0" w:after="30"/>
            </w:pPr>
            <w:r>
              <w:rPr>
                <w:i/>
                <w:color w:val="6B7280"/>
                <w:sz w:val="18"/>
              </w:rPr>
              <w:t>Monthly open/closed fiscal period management; no transactions can post to a closed period</w:t>
            </w:r>
          </w:p>
          <w:p>
            <w:pPr>
              <w:spacing w:before="0" w:after="0"/>
              <w:spacing w:before="0" w:after="60"/>
            </w:pPr>
            <w:r>
              <w:rPr>
                <w:color w:val="4B5563"/>
                <w:sz w:val="17"/>
              </w:rPr>
              <w:t>Open / Close periods  ·  Year-end close  ·  Period-lock enforcement</w:t>
            </w:r>
          </w:p>
        </w:tc>
        <w:tc>
          <w:tcPr>
            <w:tcW w:type="dxa" w:w="1587"/>
            <w:shd w:val="clear" w:color="auto" w:fill="F0FDF4"/>
            <w:vAlign w:val="top"/>
          </w:tcPr>
          <w:p>
            <w:pPr>
              <w:jc w:val="right"/>
              <w:spacing w:before="0" w:after="0"/>
              <w:spacing w:before="60" w:after="0"/>
            </w:pPr>
            <w:r>
              <w:rPr>
                <w:b w:val="0"/>
                <w:i w:val="0"/>
                <w:color w:val="6B7280"/>
                <w:sz w:val="18"/>
              </w:rPr>
              <w:t>Included</w:t>
            </w:r>
          </w:p>
        </w:tc>
      </w:tr>
      <w:tr>
        <w:tc>
          <w:tcPr>
            <w:tcW w:type="dxa" w:w="680"/>
            <w:shd w:val="clear" w:color="auto" w:fill="F0FDF4"/>
            <w:vAlign w:val="top"/>
          </w:tcPr>
          <w:p>
            <w:pPr>
              <w:jc w:val="center"/>
              <w:spacing w:before="0" w:after="0"/>
              <w:spacing w:before="60" w:after="0"/>
            </w:pPr>
            <w:r>
              <w:rPr>
                <w:b/>
                <w:i w:val="0"/>
                <w:color w:val="059669"/>
                <w:sz w:val="24"/>
              </w:rPr>
              <w:t>✓</w:t>
            </w:r>
          </w:p>
        </w:tc>
        <w:tc>
          <w:tcPr>
            <w:tcW w:type="dxa" w:w="7087"/>
            <w:shd w:val="clear" w:color="auto" w:fill="F0FDF4"/>
            <w:vAlign w:val="top"/>
          </w:tcPr>
          <w:p>
            <w:pPr>
              <w:jc w:val="left"/>
              <w:spacing w:before="0" w:after="0"/>
              <w:spacing w:before="60" w:after="20"/>
            </w:pPr>
            <w:r>
              <w:rPr>
                <w:b/>
                <w:color w:val="111827"/>
                <w:sz w:val="20"/>
              </w:rPr>
              <w:t>User Management &amp; Role-Based Access Control</w:t>
            </w:r>
          </w:p>
          <w:p>
            <w:pPr>
              <w:spacing w:before="0" w:after="0"/>
              <w:spacing w:before="0" w:after="30"/>
            </w:pPr>
            <w:r>
              <w:rPr>
                <w:i/>
                <w:color w:val="6B7280"/>
                <w:sz w:val="18"/>
              </w:rPr>
              <w:t>Multi-user system with roles controlling what each person can view or change</w:t>
            </w:r>
          </w:p>
          <w:p>
            <w:pPr>
              <w:spacing w:before="0" w:after="0"/>
              <w:spacing w:before="0" w:after="60"/>
            </w:pPr>
            <w:r>
              <w:rPr>
                <w:color w:val="4B5563"/>
                <w:sz w:val="17"/>
              </w:rPr>
              <w:t>Admin / Accountant / Staff / Viewer roles  ·  Branch-level access  ·  Account lockout after failed logins</w:t>
            </w:r>
          </w:p>
        </w:tc>
        <w:tc>
          <w:tcPr>
            <w:tcW w:type="dxa" w:w="1587"/>
            <w:shd w:val="clear" w:color="auto" w:fill="F0FDF4"/>
            <w:vAlign w:val="top"/>
          </w:tcPr>
          <w:p>
            <w:pPr>
              <w:jc w:val="right"/>
              <w:spacing w:before="0" w:after="0"/>
              <w:spacing w:before="60" w:after="0"/>
            </w:pPr>
            <w:r>
              <w:rPr>
                <w:b w:val="0"/>
                <w:i w:val="0"/>
                <w:color w:val="6B7280"/>
                <w:sz w:val="18"/>
              </w:rPr>
              <w:t>Included</w:t>
            </w:r>
          </w:p>
        </w:tc>
      </w:tr>
      <w:tr>
        <w:tc>
          <w:tcPr>
            <w:tcW w:type="dxa" w:w="680"/>
            <w:shd w:val="clear" w:color="auto" w:fill="F0FDF4"/>
            <w:vAlign w:val="top"/>
          </w:tcPr>
          <w:p>
            <w:pPr>
              <w:jc w:val="center"/>
              <w:spacing w:before="0" w:after="0"/>
              <w:spacing w:before="60" w:after="0"/>
            </w:pPr>
            <w:r>
              <w:rPr>
                <w:b/>
                <w:i w:val="0"/>
                <w:color w:val="059669"/>
                <w:sz w:val="24"/>
              </w:rPr>
              <w:t>✓</w:t>
            </w:r>
          </w:p>
        </w:tc>
        <w:tc>
          <w:tcPr>
            <w:tcW w:type="dxa" w:w="7087"/>
            <w:shd w:val="clear" w:color="auto" w:fill="F0FDF4"/>
            <w:vAlign w:val="top"/>
          </w:tcPr>
          <w:p>
            <w:pPr>
              <w:jc w:val="left"/>
              <w:spacing w:before="0" w:after="0"/>
              <w:spacing w:before="60" w:after="20"/>
            </w:pPr>
            <w:r>
              <w:rPr>
                <w:b/>
                <w:color w:val="111827"/>
                <w:sz w:val="20"/>
              </w:rPr>
              <w:t>Multi-Branch Support</w:t>
            </w:r>
          </w:p>
          <w:p>
            <w:pPr>
              <w:spacing w:before="0" w:after="0"/>
              <w:spacing w:before="0" w:after="30"/>
            </w:pPr>
            <w:r>
              <w:rPr>
                <w:i/>
                <w:color w:val="6B7280"/>
                <w:sz w:val="18"/>
              </w:rPr>
              <w:t>Multiple business locations under one system, each with its own data scope and access permissions</w:t>
            </w:r>
          </w:p>
          <w:p>
            <w:pPr>
              <w:spacing w:before="0" w:after="0"/>
              <w:spacing w:before="0" w:after="60"/>
            </w:pPr>
            <w:r>
              <w:rPr>
                <w:color w:val="4B5563"/>
                <w:sz w:val="17"/>
              </w:rPr>
              <w:t>Branch picker per session  ·  Branch-scoped transactions  ·  Cross-branch reporting</w:t>
            </w:r>
          </w:p>
        </w:tc>
        <w:tc>
          <w:tcPr>
            <w:tcW w:type="dxa" w:w="1587"/>
            <w:shd w:val="clear" w:color="auto" w:fill="F0FDF4"/>
            <w:vAlign w:val="top"/>
          </w:tcPr>
          <w:p>
            <w:pPr>
              <w:jc w:val="right"/>
              <w:spacing w:before="0" w:after="0"/>
              <w:spacing w:before="60" w:after="0"/>
            </w:pPr>
            <w:r>
              <w:rPr>
                <w:b w:val="0"/>
                <w:i w:val="0"/>
                <w:color w:val="6B7280"/>
                <w:sz w:val="18"/>
              </w:rPr>
              <w:t>Included</w:t>
            </w:r>
          </w:p>
        </w:tc>
      </w:tr>
      <w:tr>
        <w:tc>
          <w:tcPr>
            <w:tcW w:type="dxa" w:w="680"/>
            <w:shd w:val="clear" w:color="auto" w:fill="F0FDF4"/>
            <w:vAlign w:val="top"/>
          </w:tcPr>
          <w:p>
            <w:pPr>
              <w:jc w:val="center"/>
              <w:spacing w:before="0" w:after="0"/>
              <w:spacing w:before="60" w:after="0"/>
            </w:pPr>
            <w:r>
              <w:rPr>
                <w:b/>
                <w:i w:val="0"/>
                <w:color w:val="059669"/>
                <w:sz w:val="24"/>
              </w:rPr>
              <w:t>✓</w:t>
            </w:r>
          </w:p>
        </w:tc>
        <w:tc>
          <w:tcPr>
            <w:tcW w:type="dxa" w:w="7087"/>
            <w:shd w:val="clear" w:color="auto" w:fill="F0FDF4"/>
            <w:vAlign w:val="top"/>
          </w:tcPr>
          <w:p>
            <w:pPr>
              <w:jc w:val="left"/>
              <w:spacing w:before="0" w:after="0"/>
              <w:spacing w:before="60" w:after="20"/>
            </w:pPr>
            <w:r>
              <w:rPr>
                <w:b/>
                <w:color w:val="111827"/>
                <w:sz w:val="20"/>
              </w:rPr>
              <w:t>Audit Trail &amp; Approval Workflow</w:t>
            </w:r>
          </w:p>
          <w:p>
            <w:pPr>
              <w:spacing w:before="0" w:after="0"/>
              <w:spacing w:before="0" w:after="30"/>
            </w:pPr>
            <w:r>
              <w:rPr>
                <w:i/>
                <w:color w:val="6B7280"/>
                <w:sz w:val="18"/>
              </w:rPr>
              <w:t>Every action is permanently recorded. Sensitive changes require approval before taking effect.</w:t>
            </w:r>
          </w:p>
          <w:p>
            <w:pPr>
              <w:spacing w:before="0" w:after="0"/>
              <w:spacing w:before="0" w:after="60"/>
            </w:pPr>
            <w:r>
              <w:rPr>
                <w:color w:val="4B5563"/>
                <w:sz w:val="17"/>
              </w:rPr>
              <w:t>Full audit log (who, when, what changed)  ·  Pending approval queue  ·  Self-approval prevention</w:t>
            </w:r>
          </w:p>
        </w:tc>
        <w:tc>
          <w:tcPr>
            <w:tcW w:type="dxa" w:w="1587"/>
            <w:shd w:val="clear" w:color="auto" w:fill="F0FDF4"/>
            <w:vAlign w:val="top"/>
          </w:tcPr>
          <w:p>
            <w:pPr>
              <w:jc w:val="right"/>
              <w:spacing w:before="0" w:after="0"/>
              <w:spacing w:before="60" w:after="0"/>
            </w:pPr>
            <w:r>
              <w:rPr>
                <w:b w:val="0"/>
                <w:i w:val="0"/>
                <w:color w:val="6B7280"/>
                <w:sz w:val="18"/>
              </w:rPr>
              <w:t>Included</w:t>
            </w:r>
          </w:p>
        </w:tc>
      </w:tr>
      <w:tr>
        <w:tc>
          <w:tcPr>
            <w:tcW w:type="dxa" w:w="680"/>
            <w:shd w:val="clear" w:color="auto" w:fill="F0FDF4"/>
            <w:vAlign w:val="top"/>
          </w:tcPr>
          <w:p>
            <w:pPr>
              <w:jc w:val="center"/>
              <w:spacing w:before="0" w:after="0"/>
              <w:spacing w:before="60" w:after="0"/>
            </w:pPr>
            <w:r>
              <w:rPr>
                <w:b/>
                <w:i w:val="0"/>
                <w:color w:val="059669"/>
                <w:sz w:val="24"/>
              </w:rPr>
              <w:t>✓</w:t>
            </w:r>
          </w:p>
        </w:tc>
        <w:tc>
          <w:tcPr>
            <w:tcW w:type="dxa" w:w="7087"/>
            <w:shd w:val="clear" w:color="auto" w:fill="F0FDF4"/>
            <w:vAlign w:val="top"/>
          </w:tcPr>
          <w:p>
            <w:pPr>
              <w:jc w:val="left"/>
              <w:spacing w:before="0" w:after="0"/>
              <w:spacing w:before="60" w:after="20"/>
            </w:pPr>
            <w:r>
              <w:rPr>
                <w:b/>
                <w:color w:val="111827"/>
                <w:sz w:val="20"/>
              </w:rPr>
              <w:t>Dashboard &amp; Company Settings</w:t>
            </w:r>
          </w:p>
          <w:p>
            <w:pPr>
              <w:spacing w:before="0" w:after="0"/>
              <w:spacing w:before="0" w:after="30"/>
            </w:pPr>
            <w:r>
              <w:rPr>
                <w:i/>
                <w:color w:val="6B7280"/>
                <w:sz w:val="18"/>
              </w:rPr>
              <w:t>Home screen with key metrics and pending action items; company profile and system settings</w:t>
            </w:r>
          </w:p>
          <w:p>
            <w:pPr>
              <w:spacing w:before="0" w:after="0"/>
              <w:spacing w:before="0" w:after="60"/>
            </w:pPr>
            <w:r>
              <w:rPr>
                <w:color w:val="4B5563"/>
                <w:sz w:val="17"/>
              </w:rPr>
              <w:t>Pending approvals badge  ·  Company name &amp; logo  ·  System notifications</w:t>
            </w:r>
          </w:p>
        </w:tc>
        <w:tc>
          <w:tcPr>
            <w:tcW w:type="dxa" w:w="1587"/>
            <w:shd w:val="clear" w:color="auto" w:fill="F0FDF4"/>
            <w:vAlign w:val="top"/>
          </w:tcPr>
          <w:p>
            <w:pPr>
              <w:jc w:val="right"/>
              <w:spacing w:before="0" w:after="0"/>
              <w:spacing w:before="60" w:after="0"/>
            </w:pPr>
            <w:r>
              <w:rPr>
                <w:b w:val="0"/>
                <w:i w:val="0"/>
                <w:color w:val="6B7280"/>
                <w:sz w:val="18"/>
              </w:rPr>
              <w:t>Included</w:t>
            </w:r>
          </w:p>
        </w:tc>
      </w:tr>
    </w:tbl>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406"/>
      </w:tblGrid>
      <w:tr>
        <w:tc>
          <w:tcPr>
            <w:tcW w:type="dxa" w:w="9406"/>
            <w:shd w:val="clear" w:color="auto" w:fill="1E3A5F"/>
          </w:tcPr>
          <w:p>
            <w:pPr>
              <w:jc w:val="left"/>
              <w:spacing w:before="0" w:after="0"/>
              <w:spacing w:before="60" w:after="60"/>
            </w:pPr>
            <w:r>
              <w:rPr>
                <w:b/>
                <w:i w:val="0"/>
                <w:color w:val="FFFFFF"/>
                <w:sz w:val="20"/>
              </w:rPr>
              <w:t>💰  Financial Management</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680"/>
            <w:shd w:val="clear" w:color="auto" w:fill="F3F4F6"/>
          </w:tcPr>
          <w:p>
            <w:pPr>
              <w:jc w:val="left"/>
              <w:spacing w:before="0" w:after="0"/>
              <w:spacing w:before="30" w:after="30"/>
            </w:pPr>
          </w:p>
        </w:tc>
        <w:tc>
          <w:tcPr>
            <w:tcW w:type="dxa" w:w="7087"/>
            <w:shd w:val="clear" w:color="auto" w:fill="F3F4F6"/>
          </w:tcPr>
          <w:p>
            <w:pPr>
              <w:jc w:val="left"/>
              <w:spacing w:before="0" w:after="0"/>
              <w:spacing w:before="30" w:after="30"/>
            </w:pPr>
            <w:r>
              <w:rPr>
                <w:b/>
                <w:i w:val="0"/>
                <w:color w:val="6B7280"/>
                <w:sz w:val="17"/>
              </w:rPr>
              <w:t>Module</w:t>
            </w:r>
          </w:p>
        </w:tc>
        <w:tc>
          <w:tcPr>
            <w:tcW w:type="dxa" w:w="1587"/>
            <w:shd w:val="clear" w:color="auto" w:fill="F3F4F6"/>
          </w:tcPr>
          <w:p>
            <w:pPr>
              <w:jc w:val="left"/>
              <w:spacing w:before="0" w:after="0"/>
              <w:spacing w:before="30" w:after="30"/>
            </w:pPr>
            <w:r>
              <w:rPr>
                <w:b/>
                <w:i w:val="0"/>
                <w:color w:val="6B7280"/>
                <w:sz w:val="17"/>
              </w:rPr>
              <w:t>Cost (PHP)</w:t>
            </w: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Accounts Receivable — Sales Invoices</w:t>
            </w:r>
          </w:p>
          <w:p>
            <w:pPr>
              <w:spacing w:before="0" w:after="0"/>
              <w:spacing w:before="0" w:after="30"/>
            </w:pPr>
            <w:r>
              <w:rPr>
                <w:i/>
                <w:color w:val="6B7280"/>
                <w:sz w:val="18"/>
              </w:rPr>
              <w:t>Issue official sales invoices to customers; track outstanding balances; auto-post journal entries</w:t>
            </w:r>
          </w:p>
          <w:p>
            <w:pPr>
              <w:spacing w:before="0" w:after="0"/>
              <w:spacing w:before="0" w:after="60"/>
            </w:pPr>
            <w:r>
              <w:rPr>
                <w:color w:val="4B5563"/>
                <w:sz w:val="17"/>
              </w:rPr>
              <w:t>Invoice numbering (SI-YYYY-MM-####)  ·  VAT-inclusive line items  ·  WT receivable per line  ·  Draft → Posted → Void  ·  PDF print</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Accounts Payable — Vendor Bills</w:t>
            </w:r>
          </w:p>
          <w:p>
            <w:pPr>
              <w:spacing w:before="0" w:after="0"/>
              <w:spacing w:before="0" w:after="30"/>
            </w:pPr>
            <w:r>
              <w:rPr>
                <w:i/>
                <w:color w:val="6B7280"/>
                <w:sz w:val="18"/>
              </w:rPr>
              <w:t>Record vendor invoices; track outstanding payables; auto-post journal entries with VAT and withholding tax</w:t>
            </w:r>
          </w:p>
          <w:p>
            <w:pPr>
              <w:spacing w:before="0" w:after="0"/>
              <w:spacing w:before="0" w:after="60"/>
            </w:pPr>
            <w:r>
              <w:rPr>
                <w:color w:val="4B5563"/>
                <w:sz w:val="17"/>
              </w:rPr>
              <w:t>Bill numbering (AP-YYYY-MM-####)  ·  VAT input tax per line  ·  Withholding tax per line  ·  Draft → Posted → Void  ·  Attachment support</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Cash Disbursement Vouchers</w:t>
            </w:r>
          </w:p>
          <w:p>
            <w:pPr>
              <w:spacing w:before="0" w:after="0"/>
              <w:spacing w:before="0" w:after="30"/>
            </w:pPr>
            <w:r>
              <w:rPr>
                <w:i/>
                <w:color w:val="6B7280"/>
                <w:sz w:val="18"/>
              </w:rPr>
              <w:t>Record cash or check payments to vendors; supports full or partial payment against AP bills or direct expenses</w:t>
            </w:r>
          </w:p>
          <w:p>
            <w:pPr>
              <w:spacing w:before="0" w:after="0"/>
              <w:spacing w:before="0" w:after="60"/>
            </w:pPr>
            <w:r>
              <w:rPr>
                <w:color w:val="4B5563"/>
                <w:sz w:val="17"/>
              </w:rPr>
              <w:t>CDV numbering  ·  Apply to AP bills (partial / full)  ·  Direct expense lines  ·  Check number tracking  ·  Auto journal entry</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Cash Receipts &amp; Collections</w:t>
            </w:r>
          </w:p>
          <w:p>
            <w:pPr>
              <w:spacing w:before="0" w:after="0"/>
              <w:spacing w:before="0" w:after="30"/>
            </w:pPr>
            <w:r>
              <w:rPr>
                <w:i/>
                <w:color w:val="6B7280"/>
                <w:sz w:val="18"/>
              </w:rPr>
              <w:t>Record customer payments via cash, check, or bank transfer; apply collections to outstanding invoices</w:t>
            </w:r>
          </w:p>
          <w:p>
            <w:pPr>
              <w:spacing w:before="0" w:after="0"/>
              <w:spacing w:before="0" w:after="60"/>
            </w:pPr>
            <w:r>
              <w:rPr>
                <w:color w:val="4B5563"/>
                <w:sz w:val="17"/>
              </w:rPr>
              <w:t>Collection receipt numbering  ·  Cash / check / bank transfer  ·  Apply to SI invoices  ·  Auto journal entry</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Fixed Asset Management</w:t>
            </w:r>
          </w:p>
          <w:p>
            <w:pPr>
              <w:spacing w:before="0" w:after="0"/>
              <w:spacing w:before="0" w:after="30"/>
            </w:pPr>
            <w:r>
              <w:rPr>
                <w:i/>
                <w:color w:val="6B7280"/>
                <w:sz w:val="18"/>
              </w:rPr>
              <w:t>Maintain a register of all company assets; automatically compute and post monthly depreciation</w:t>
            </w:r>
          </w:p>
          <w:p>
            <w:pPr>
              <w:spacing w:before="0" w:after="0"/>
              <w:spacing w:before="0" w:after="60"/>
            </w:pPr>
            <w:r>
              <w:rPr>
                <w:color w:val="4B5563"/>
                <w:sz w:val="17"/>
              </w:rPr>
              <w:t>Asset register (code, description, cost, date)  ·  Straight-line &amp; declining balance  ·  Auto depreciation journal entries  ·  Disposal / write-off workflow</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Bank Reconciliation</w:t>
            </w:r>
          </w:p>
          <w:p>
            <w:pPr>
              <w:spacing w:before="0" w:after="0"/>
              <w:spacing w:before="0" w:after="30"/>
            </w:pPr>
            <w:r>
              <w:rPr>
                <w:i/>
                <w:color w:val="6B7280"/>
                <w:sz w:val="18"/>
              </w:rPr>
              <w:t>Match book entries against the bank statement; identify outstanding checks and deposits in transit</w:t>
            </w:r>
          </w:p>
          <w:p>
            <w:pPr>
              <w:spacing w:before="0" w:after="0"/>
              <w:spacing w:before="0" w:after="60"/>
            </w:pPr>
            <w:r>
              <w:rPr>
                <w:color w:val="4B5563"/>
                <w:sz w:val="17"/>
              </w:rPr>
              <w:t>Bank statement import (CSV)  ·  Match / unmatch entries  ·  Outstanding check list  ·  Reconciliation report</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Budgeting &amp; Cost Control</w:t>
            </w:r>
          </w:p>
          <w:p>
            <w:pPr>
              <w:spacing w:before="0" w:after="0"/>
              <w:spacing w:before="0" w:after="30"/>
            </w:pPr>
            <w:r>
              <w:rPr>
                <w:i/>
                <w:color w:val="6B7280"/>
                <w:sz w:val="18"/>
              </w:rPr>
              <w:t>Set annual budgets per account; compare budget vs. actual with variance analysis</w:t>
            </w:r>
          </w:p>
          <w:p>
            <w:pPr>
              <w:spacing w:before="0" w:after="0"/>
              <w:spacing w:before="0" w:after="60"/>
            </w:pPr>
            <w:r>
              <w:rPr>
                <w:color w:val="4B5563"/>
                <w:sz w:val="17"/>
              </w:rPr>
              <w:t>Annual budget entry per account / month  ·  Budget vs. Actual report  ·  Over-budget alerts  ·  Department / cost center tagging</w:t>
            </w:r>
          </w:p>
        </w:tc>
        <w:tc>
          <w:tcPr>
            <w:tcW w:type="dxa" w:w="1587"/>
            <w:vAlign w:val="top"/>
          </w:tcPr>
          <w:p>
            <w:pPr>
              <w:jc w:val="right"/>
              <w:spacing w:before="0" w:after="0"/>
              <w:spacing w:before="60" w:after="0"/>
            </w:pPr>
          </w:p>
        </w:tc>
      </w:tr>
    </w:tbl>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406"/>
      </w:tblGrid>
      <w:tr>
        <w:tc>
          <w:tcPr>
            <w:tcW w:type="dxa" w:w="9406"/>
            <w:shd w:val="clear" w:color="auto" w:fill="1E3A5F"/>
          </w:tcPr>
          <w:p>
            <w:pPr>
              <w:jc w:val="left"/>
              <w:spacing w:before="0" w:after="0"/>
              <w:spacing w:before="60" w:after="60"/>
            </w:pPr>
            <w:r>
              <w:rPr>
                <w:b/>
                <w:i w:val="0"/>
                <w:color w:val="FFFFFF"/>
                <w:sz w:val="20"/>
              </w:rPr>
              <w:t>🧾  BIR Tax Compliance</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680"/>
            <w:shd w:val="clear" w:color="auto" w:fill="F3F4F6"/>
          </w:tcPr>
          <w:p>
            <w:pPr>
              <w:jc w:val="left"/>
              <w:spacing w:before="0" w:after="0"/>
              <w:spacing w:before="30" w:after="30"/>
            </w:pPr>
          </w:p>
        </w:tc>
        <w:tc>
          <w:tcPr>
            <w:tcW w:type="dxa" w:w="7087"/>
            <w:shd w:val="clear" w:color="auto" w:fill="F3F4F6"/>
          </w:tcPr>
          <w:p>
            <w:pPr>
              <w:jc w:val="left"/>
              <w:spacing w:before="0" w:after="0"/>
              <w:spacing w:before="30" w:after="30"/>
            </w:pPr>
            <w:r>
              <w:rPr>
                <w:b/>
                <w:i w:val="0"/>
                <w:color w:val="6B7280"/>
                <w:sz w:val="17"/>
              </w:rPr>
              <w:t>Module</w:t>
            </w:r>
          </w:p>
        </w:tc>
        <w:tc>
          <w:tcPr>
            <w:tcW w:type="dxa" w:w="1587"/>
            <w:shd w:val="clear" w:color="auto" w:fill="F3F4F6"/>
          </w:tcPr>
          <w:p>
            <w:pPr>
              <w:jc w:val="left"/>
              <w:spacing w:before="0" w:after="0"/>
              <w:spacing w:before="30" w:after="30"/>
            </w:pPr>
            <w:r>
              <w:rPr>
                <w:b/>
                <w:i w:val="0"/>
                <w:color w:val="6B7280"/>
                <w:sz w:val="17"/>
              </w:rPr>
              <w:t>Cost (PHP)</w:t>
            </w: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VAT Management</w:t>
            </w:r>
          </w:p>
          <w:p>
            <w:pPr>
              <w:spacing w:before="0" w:after="0"/>
              <w:spacing w:before="0" w:after="30"/>
            </w:pPr>
            <w:r>
              <w:rPr>
                <w:i/>
                <w:color w:val="6B7280"/>
                <w:sz w:val="18"/>
              </w:rPr>
              <w:t>Manage VAT categories (12%, 0%, exempt, non-VAT); auto-extract VAT from line amounts; BIR-compliant treatment of input and output tax</w:t>
            </w:r>
          </w:p>
          <w:p>
            <w:pPr>
              <w:spacing w:before="0" w:after="0"/>
              <w:spacing w:before="0" w:after="60"/>
            </w:pPr>
            <w:r>
              <w:rPr>
                <w:color w:val="4B5563"/>
                <w:sz w:val="17"/>
              </w:rPr>
              <w:t>VAT category master  ·  VAT-inclusive extraction  ·  Input vs. output VAT accounts  ·  Summary List of Sales (SLS)  ·  Summary List of Purchases (SLP)</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Withholding Tax Management</w:t>
            </w:r>
          </w:p>
          <w:p>
            <w:pPr>
              <w:spacing w:before="0" w:after="0"/>
              <w:spacing w:before="0" w:after="30"/>
            </w:pPr>
            <w:r>
              <w:rPr>
                <w:i/>
                <w:color w:val="6B7280"/>
                <w:sz w:val="18"/>
              </w:rPr>
              <w:t>Expanded withholding tax per BIR ATC codes; auto-compute on purchases and payments; track payables to BIR</w:t>
            </w:r>
          </w:p>
          <w:p>
            <w:pPr>
              <w:spacing w:before="0" w:after="0"/>
              <w:spacing w:before="0" w:after="60"/>
            </w:pPr>
            <w:r>
              <w:rPr>
                <w:color w:val="4B5563"/>
                <w:sz w:val="17"/>
              </w:rPr>
              <w:t>WT code master (ATC codes)  ·  Per-line WT computation  ·  WT receivable &amp; payable tracking  ·  Alphalist of Payees (BIR 1604-E)  ·  BIR 2307 certificate tracking</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BIR Form Generation</w:t>
            </w:r>
          </w:p>
          <w:p>
            <w:pPr>
              <w:spacing w:before="0" w:after="0"/>
              <w:spacing w:before="0" w:after="30"/>
            </w:pPr>
            <w:r>
              <w:rPr>
                <w:i/>
                <w:color w:val="6B7280"/>
                <w:sz w:val="18"/>
              </w:rPr>
              <w:t>Generate data files and summaries ready for eBIRForms or EFPS submission</w:t>
            </w:r>
          </w:p>
          <w:p>
            <w:pPr>
              <w:spacing w:before="0" w:after="0"/>
              <w:spacing w:before="0" w:after="60"/>
            </w:pPr>
            <w:r>
              <w:rPr>
                <w:color w:val="4B5563"/>
                <w:sz w:val="17"/>
              </w:rPr>
              <w:t>VAT Return summary (BIR 2550M / 2550Q)  ·  Expanded WT summary (1601-EQ)  ·  Alphalist data file (1604-CF)  ·  CSV / Excel export for upload</w:t>
            </w:r>
          </w:p>
        </w:tc>
        <w:tc>
          <w:tcPr>
            <w:tcW w:type="dxa" w:w="1587"/>
            <w:vAlign w:val="top"/>
          </w:tcPr>
          <w:p>
            <w:pPr>
              <w:jc w:val="right"/>
              <w:spacing w:before="0" w:after="0"/>
              <w:spacing w:before="60" w:after="0"/>
            </w:pPr>
          </w:p>
        </w:tc>
      </w:tr>
    </w:tbl>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406"/>
      </w:tblGrid>
      <w:tr>
        <w:tc>
          <w:tcPr>
            <w:tcW w:type="dxa" w:w="9406"/>
            <w:shd w:val="clear" w:color="auto" w:fill="1E3A5F"/>
          </w:tcPr>
          <w:p>
            <w:pPr>
              <w:jc w:val="left"/>
              <w:spacing w:before="0" w:after="0"/>
              <w:spacing w:before="60" w:after="60"/>
            </w:pPr>
            <w:r>
              <w:rPr>
                <w:b/>
                <w:i w:val="0"/>
                <w:color w:val="FFFFFF"/>
                <w:sz w:val="20"/>
              </w:rPr>
              <w:t>📦  Customer &amp; Sales Cycle</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680"/>
            <w:shd w:val="clear" w:color="auto" w:fill="F3F4F6"/>
          </w:tcPr>
          <w:p>
            <w:pPr>
              <w:jc w:val="left"/>
              <w:spacing w:before="0" w:after="0"/>
              <w:spacing w:before="30" w:after="30"/>
            </w:pPr>
          </w:p>
        </w:tc>
        <w:tc>
          <w:tcPr>
            <w:tcW w:type="dxa" w:w="7087"/>
            <w:shd w:val="clear" w:color="auto" w:fill="F3F4F6"/>
          </w:tcPr>
          <w:p>
            <w:pPr>
              <w:jc w:val="left"/>
              <w:spacing w:before="0" w:after="0"/>
              <w:spacing w:before="30" w:after="30"/>
            </w:pPr>
            <w:r>
              <w:rPr>
                <w:b/>
                <w:i w:val="0"/>
                <w:color w:val="6B7280"/>
                <w:sz w:val="17"/>
              </w:rPr>
              <w:t>Module</w:t>
            </w:r>
          </w:p>
        </w:tc>
        <w:tc>
          <w:tcPr>
            <w:tcW w:type="dxa" w:w="1587"/>
            <w:shd w:val="clear" w:color="auto" w:fill="F3F4F6"/>
          </w:tcPr>
          <w:p>
            <w:pPr>
              <w:jc w:val="left"/>
              <w:spacing w:before="0" w:after="0"/>
              <w:spacing w:before="30" w:after="30"/>
            </w:pPr>
            <w:r>
              <w:rPr>
                <w:b/>
                <w:i w:val="0"/>
                <w:color w:val="6B7280"/>
                <w:sz w:val="17"/>
              </w:rPr>
              <w:t>Cost (PHP)</w:t>
            </w: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Customer Master</w:t>
            </w:r>
          </w:p>
          <w:p>
            <w:pPr>
              <w:spacing w:before="0" w:after="0"/>
              <w:spacing w:before="0" w:after="30"/>
            </w:pPr>
            <w:r>
              <w:rPr>
                <w:i/>
                <w:color w:val="6B7280"/>
                <w:sz w:val="18"/>
              </w:rPr>
              <w:t>Centralized customer database shared across all branches</w:t>
            </w:r>
          </w:p>
          <w:p>
            <w:pPr>
              <w:spacing w:before="0" w:after="0"/>
              <w:spacing w:before="0" w:after="60"/>
            </w:pPr>
            <w:r>
              <w:rPr>
                <w:color w:val="4B5563"/>
                <w:sz w:val="17"/>
              </w:rPr>
              <w:t>Customer code, name, TIN, contact  ·  Default payment terms  ·  Default VAT category  ·  Customer account statement</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Sales Quotation</w:t>
            </w:r>
          </w:p>
          <w:p>
            <w:pPr>
              <w:spacing w:before="0" w:after="0"/>
              <w:spacing w:before="0" w:after="30"/>
            </w:pPr>
            <w:r>
              <w:rPr>
                <w:i/>
                <w:color w:val="6B7280"/>
                <w:sz w:val="18"/>
              </w:rPr>
              <w:t>Prepare and send price quotations to customers; convert approved quotations to Sales Orders</w:t>
            </w:r>
          </w:p>
          <w:p>
            <w:pPr>
              <w:spacing w:before="0" w:after="0"/>
              <w:spacing w:before="0" w:after="60"/>
            </w:pPr>
            <w:r>
              <w:rPr>
                <w:color w:val="4B5563"/>
                <w:sz w:val="17"/>
              </w:rPr>
              <w:t>Quotation numbering  ·  Line items with pricing  ·  Validity date  ·  Convert to Sales Order  ·  PDF generation</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Sales Order</w:t>
            </w:r>
          </w:p>
          <w:p>
            <w:pPr>
              <w:spacing w:before="0" w:after="0"/>
              <w:spacing w:before="0" w:after="30"/>
            </w:pPr>
            <w:r>
              <w:rPr>
                <w:i/>
                <w:color w:val="6B7280"/>
                <w:sz w:val="18"/>
              </w:rPr>
              <w:t>Record confirmed customer orders; track fulfillment status; trigger Delivery Receipts</w:t>
            </w:r>
          </w:p>
          <w:p>
            <w:pPr>
              <w:spacing w:before="0" w:after="0"/>
              <w:spacing w:before="0" w:after="60"/>
            </w:pPr>
            <w:r>
              <w:rPr>
                <w:color w:val="4B5563"/>
                <w:sz w:val="17"/>
              </w:rPr>
              <w:t>SO numbering (SO-YYYY-MM-####)  ·  Open / Partial / Fulfilled status  ·  Backorder management  ·  Link to Delivery Receipts</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Delivery Receipt</w:t>
            </w:r>
          </w:p>
          <w:p>
            <w:pPr>
              <w:spacing w:before="0" w:after="0"/>
              <w:spacing w:before="0" w:after="30"/>
            </w:pPr>
            <w:r>
              <w:rPr>
                <w:i/>
                <w:color w:val="6B7280"/>
                <w:sz w:val="18"/>
              </w:rPr>
              <w:t>Record goods or services delivered to customers; reduce inventory stock; trigger billing</w:t>
            </w:r>
          </w:p>
          <w:p>
            <w:pPr>
              <w:spacing w:before="0" w:after="0"/>
              <w:spacing w:before="0" w:after="60"/>
            </w:pPr>
            <w:r>
              <w:rPr>
                <w:color w:val="4B5563"/>
                <w:sz w:val="17"/>
              </w:rPr>
              <w:t>DR numbering (DR-YYYY-MM-####)  ·  Partial delivery support  ·  Inventory out movement  ·  Link to Sales Order &amp; Sales Invoice  ·  PDF delivery slip</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Price Lists</w:t>
            </w:r>
          </w:p>
          <w:p>
            <w:pPr>
              <w:spacing w:before="0" w:after="0"/>
              <w:spacing w:before="0" w:after="30"/>
            </w:pPr>
            <w:r>
              <w:rPr>
                <w:i/>
                <w:color w:val="6B7280"/>
                <w:sz w:val="18"/>
              </w:rPr>
              <w:t>Manage multiple price tiers per item; automatically apply the correct price on sales documents</w:t>
            </w:r>
          </w:p>
          <w:p>
            <w:pPr>
              <w:spacing w:before="0" w:after="0"/>
              <w:spacing w:before="0" w:after="60"/>
            </w:pPr>
            <w:r>
              <w:rPr>
                <w:color w:val="4B5563"/>
                <w:sz w:val="17"/>
              </w:rPr>
              <w:t>Price list by customer tier or group  ·  Effective date management  ·  Discount rules</w:t>
            </w:r>
          </w:p>
        </w:tc>
        <w:tc>
          <w:tcPr>
            <w:tcW w:type="dxa" w:w="1587"/>
            <w:vAlign w:val="top"/>
          </w:tcPr>
          <w:p>
            <w:pPr>
              <w:jc w:val="right"/>
              <w:spacing w:before="0" w:after="0"/>
              <w:spacing w:before="60" w:after="0"/>
            </w:pPr>
          </w:p>
        </w:tc>
      </w:tr>
    </w:tbl>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406"/>
      </w:tblGrid>
      <w:tr>
        <w:tc>
          <w:tcPr>
            <w:tcW w:type="dxa" w:w="9406"/>
            <w:shd w:val="clear" w:color="auto" w:fill="1E3A5F"/>
          </w:tcPr>
          <w:p>
            <w:pPr>
              <w:jc w:val="left"/>
              <w:spacing w:before="0" w:after="0"/>
              <w:spacing w:before="60" w:after="60"/>
            </w:pPr>
            <w:r>
              <w:rPr>
                <w:b/>
                <w:i w:val="0"/>
                <w:color w:val="FFFFFF"/>
                <w:sz w:val="20"/>
              </w:rPr>
              <w:t>🛒  Vendor &amp; Procurement Cycle</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680"/>
            <w:shd w:val="clear" w:color="auto" w:fill="F3F4F6"/>
          </w:tcPr>
          <w:p>
            <w:pPr>
              <w:jc w:val="left"/>
              <w:spacing w:before="0" w:after="0"/>
              <w:spacing w:before="30" w:after="30"/>
            </w:pPr>
          </w:p>
        </w:tc>
        <w:tc>
          <w:tcPr>
            <w:tcW w:type="dxa" w:w="7087"/>
            <w:shd w:val="clear" w:color="auto" w:fill="F3F4F6"/>
          </w:tcPr>
          <w:p>
            <w:pPr>
              <w:jc w:val="left"/>
              <w:spacing w:before="0" w:after="0"/>
              <w:spacing w:before="30" w:after="30"/>
            </w:pPr>
            <w:r>
              <w:rPr>
                <w:b/>
                <w:i w:val="0"/>
                <w:color w:val="6B7280"/>
                <w:sz w:val="17"/>
              </w:rPr>
              <w:t>Module</w:t>
            </w:r>
          </w:p>
        </w:tc>
        <w:tc>
          <w:tcPr>
            <w:tcW w:type="dxa" w:w="1587"/>
            <w:shd w:val="clear" w:color="auto" w:fill="F3F4F6"/>
          </w:tcPr>
          <w:p>
            <w:pPr>
              <w:jc w:val="left"/>
              <w:spacing w:before="0" w:after="0"/>
              <w:spacing w:before="30" w:after="30"/>
            </w:pPr>
            <w:r>
              <w:rPr>
                <w:b/>
                <w:i w:val="0"/>
                <w:color w:val="6B7280"/>
                <w:sz w:val="17"/>
              </w:rPr>
              <w:t>Cost (PHP)</w:t>
            </w: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Vendor Master</w:t>
            </w:r>
          </w:p>
          <w:p>
            <w:pPr>
              <w:spacing w:before="0" w:after="0"/>
              <w:spacing w:before="0" w:after="30"/>
            </w:pPr>
            <w:r>
              <w:rPr>
                <w:i/>
                <w:color w:val="6B7280"/>
                <w:sz w:val="18"/>
              </w:rPr>
              <w:t>Centralized supplier database with BIR-required information and default WT codes</w:t>
            </w:r>
          </w:p>
          <w:p>
            <w:pPr>
              <w:spacing w:before="0" w:after="0"/>
              <w:spacing w:before="0" w:after="60"/>
            </w:pPr>
            <w:r>
              <w:rPr>
                <w:color w:val="4B5563"/>
                <w:sz w:val="17"/>
              </w:rPr>
              <w:t>Vendor code, name, TIN, contact  ·  Default payment terms  ·  Default WT codes  ·  Vendor account statement</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Purchase Request</w:t>
            </w:r>
          </w:p>
          <w:p>
            <w:pPr>
              <w:spacing w:before="0" w:after="0"/>
              <w:spacing w:before="0" w:after="30"/>
            </w:pPr>
            <w:r>
              <w:rPr>
                <w:i/>
                <w:color w:val="6B7280"/>
                <w:sz w:val="18"/>
              </w:rPr>
              <w:t>Internal requisition for goods or services; routed for approval before any purchasing action</w:t>
            </w:r>
          </w:p>
          <w:p>
            <w:pPr>
              <w:spacing w:before="0" w:after="0"/>
              <w:spacing w:before="0" w:after="60"/>
            </w:pPr>
            <w:r>
              <w:rPr>
                <w:color w:val="4B5563"/>
                <w:sz w:val="17"/>
              </w:rPr>
              <w:t>PR numbering (PR-YYYY-MM-####)  ·  Requestor &amp; department  ·  Approval workflow  ·  Convert to Purchase Order</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Purchase Order</w:t>
            </w:r>
          </w:p>
          <w:p>
            <w:pPr>
              <w:spacing w:before="0" w:after="0"/>
              <w:spacing w:before="0" w:after="30"/>
            </w:pPr>
            <w:r>
              <w:rPr>
                <w:i/>
                <w:color w:val="6B7280"/>
                <w:sz w:val="18"/>
              </w:rPr>
              <w:t>Formal order issued to a vendor; tracks ordered vs. received quantities</w:t>
            </w:r>
          </w:p>
          <w:p>
            <w:pPr>
              <w:spacing w:before="0" w:after="0"/>
              <w:spacing w:before="0" w:after="60"/>
            </w:pPr>
            <w:r>
              <w:rPr>
                <w:color w:val="4B5563"/>
                <w:sz w:val="17"/>
              </w:rPr>
              <w:t>PO numbering (PO-YYYY-MM-####)  ·  Open / Partial / Fulfilled status  ·  PDF for vendor  ·  Link to Receiving Report</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Receiving Report</w:t>
            </w:r>
          </w:p>
          <w:p>
            <w:pPr>
              <w:spacing w:before="0" w:after="0"/>
              <w:spacing w:before="0" w:after="30"/>
            </w:pPr>
            <w:r>
              <w:rPr>
                <w:i/>
                <w:color w:val="6B7280"/>
                <w:sz w:val="18"/>
              </w:rPr>
              <w:t>Record goods received from the vendor; increase inventory stock; trigger AP billing</w:t>
            </w:r>
          </w:p>
          <w:p>
            <w:pPr>
              <w:spacing w:before="0" w:after="0"/>
              <w:spacing w:before="0" w:after="60"/>
            </w:pPr>
            <w:r>
              <w:rPr>
                <w:color w:val="4B5563"/>
                <w:sz w:val="17"/>
              </w:rPr>
              <w:t>RR numbering (RR-YYYY-MM-####)  ·  Partial receipt support  ·  Inventory in movement  ·  Link to PO &amp; AP Bill</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3-Way Matching</w:t>
            </w:r>
          </w:p>
          <w:p>
            <w:pPr>
              <w:spacing w:before="0" w:after="0"/>
              <w:spacing w:before="0" w:after="30"/>
            </w:pPr>
            <w:r>
              <w:rPr>
                <w:i/>
                <w:color w:val="6B7280"/>
                <w:sz w:val="18"/>
              </w:rPr>
              <w:t>Internal control: verify that the Purchase Order, Receiving Report, and AP invoice all agree before authorizing payment</w:t>
            </w:r>
          </w:p>
          <w:p>
            <w:pPr>
              <w:spacing w:before="0" w:after="0"/>
              <w:spacing w:before="0" w:after="60"/>
            </w:pPr>
            <w:r>
              <w:rPr>
                <w:color w:val="4B5563"/>
                <w:sz w:val="17"/>
              </w:rPr>
              <w:t>PO vs. RR vs. AP Bill comparison  ·  Discrepancy alerts  ·  Block payment on mismatch</w:t>
            </w:r>
          </w:p>
        </w:tc>
        <w:tc>
          <w:tcPr>
            <w:tcW w:type="dxa" w:w="1587"/>
            <w:vAlign w:val="top"/>
          </w:tcPr>
          <w:p>
            <w:pPr>
              <w:jc w:val="right"/>
              <w:spacing w:before="0" w:after="0"/>
              <w:spacing w:before="60" w:after="0"/>
            </w:pPr>
          </w:p>
        </w:tc>
      </w:tr>
    </w:tbl>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406"/>
      </w:tblGrid>
      <w:tr>
        <w:tc>
          <w:tcPr>
            <w:tcW w:type="dxa" w:w="9406"/>
            <w:shd w:val="clear" w:color="auto" w:fill="1E3A5F"/>
          </w:tcPr>
          <w:p>
            <w:pPr>
              <w:jc w:val="left"/>
              <w:spacing w:before="0" w:after="0"/>
              <w:spacing w:before="60" w:after="60"/>
            </w:pPr>
            <w:r>
              <w:rPr>
                <w:b/>
                <w:i w:val="0"/>
                <w:color w:val="FFFFFF"/>
                <w:sz w:val="20"/>
              </w:rPr>
              <w:t>📊  Inventory Management</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680"/>
            <w:shd w:val="clear" w:color="auto" w:fill="F3F4F6"/>
          </w:tcPr>
          <w:p>
            <w:pPr>
              <w:jc w:val="left"/>
              <w:spacing w:before="0" w:after="0"/>
              <w:spacing w:before="30" w:after="30"/>
            </w:pPr>
          </w:p>
        </w:tc>
        <w:tc>
          <w:tcPr>
            <w:tcW w:type="dxa" w:w="7087"/>
            <w:shd w:val="clear" w:color="auto" w:fill="F3F4F6"/>
          </w:tcPr>
          <w:p>
            <w:pPr>
              <w:jc w:val="left"/>
              <w:spacing w:before="0" w:after="0"/>
              <w:spacing w:before="30" w:after="30"/>
            </w:pPr>
            <w:r>
              <w:rPr>
                <w:b/>
                <w:i w:val="0"/>
                <w:color w:val="6B7280"/>
                <w:sz w:val="17"/>
              </w:rPr>
              <w:t>Module</w:t>
            </w:r>
          </w:p>
        </w:tc>
        <w:tc>
          <w:tcPr>
            <w:tcW w:type="dxa" w:w="1587"/>
            <w:shd w:val="clear" w:color="auto" w:fill="F3F4F6"/>
          </w:tcPr>
          <w:p>
            <w:pPr>
              <w:jc w:val="left"/>
              <w:spacing w:before="0" w:after="0"/>
              <w:spacing w:before="30" w:after="30"/>
            </w:pPr>
            <w:r>
              <w:rPr>
                <w:b/>
                <w:i w:val="0"/>
                <w:color w:val="6B7280"/>
                <w:sz w:val="17"/>
              </w:rPr>
              <w:t>Cost (PHP)</w:t>
            </w: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Item / Product Master</w:t>
            </w:r>
          </w:p>
          <w:p>
            <w:pPr>
              <w:spacing w:before="0" w:after="0"/>
              <w:spacing w:before="0" w:after="30"/>
            </w:pPr>
            <w:r>
              <w:rPr>
                <w:i/>
                <w:color w:val="6B7280"/>
                <w:sz w:val="18"/>
              </w:rPr>
              <w:t>Central catalog of all goods and services the business buys and sells</w:t>
            </w:r>
          </w:p>
          <w:p>
            <w:pPr>
              <w:spacing w:before="0" w:after="0"/>
              <w:spacing w:before="0" w:after="60"/>
            </w:pPr>
            <w:r>
              <w:rPr>
                <w:color w:val="4B5563"/>
                <w:sz w:val="17"/>
              </w:rPr>
              <w:t>Item code, name, unit of measure  ·  Cost method (FIFO / Weighted Average)  ·  Reorder point &amp; minimum stock level  ·  Sales price &amp; purchase price</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Stock Movements &amp; Ledger</w:t>
            </w:r>
          </w:p>
          <w:p>
            <w:pPr>
              <w:spacing w:before="0" w:after="0"/>
              <w:spacing w:before="0" w:after="30"/>
            </w:pPr>
            <w:r>
              <w:rPr>
                <w:i/>
                <w:color w:val="6B7280"/>
                <w:sz w:val="18"/>
              </w:rPr>
              <w:t>Every transaction creates a stock movement: receipt, delivery, transfer, adjustment. Running balance maintained per item per branch.</w:t>
            </w:r>
          </w:p>
          <w:p>
            <w:pPr>
              <w:spacing w:before="0" w:after="0"/>
              <w:spacing w:before="0" w:after="60"/>
            </w:pPr>
            <w:r>
              <w:rPr>
                <w:color w:val="4B5563"/>
                <w:sz w:val="17"/>
              </w:rPr>
              <w:t>Stock in / out / transfer / adjustment  ·  Branch-level tracking  ·  Running stock balance  ·  FIFO / Weighted Average valuation</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Physical Count &amp; Stock Take</w:t>
            </w:r>
          </w:p>
          <w:p>
            <w:pPr>
              <w:spacing w:before="0" w:after="0"/>
              <w:spacing w:before="0" w:after="30"/>
            </w:pPr>
            <w:r>
              <w:rPr>
                <w:i/>
                <w:color w:val="6B7280"/>
                <w:sz w:val="18"/>
              </w:rPr>
              <w:t>Conduct periodic inventory counts; compare physical count vs. book balance; post adjustment journal entries</w:t>
            </w:r>
          </w:p>
          <w:p>
            <w:pPr>
              <w:spacing w:before="0" w:after="0"/>
              <w:spacing w:before="0" w:after="60"/>
            </w:pPr>
            <w:r>
              <w:rPr>
                <w:color w:val="4B5563"/>
                <w:sz w:val="17"/>
              </w:rPr>
              <w:t>Count sheet generation  ·  Variance report (book vs. actual)  ·  Auto inventory adjustment JE</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Inventory Reports</w:t>
            </w:r>
          </w:p>
          <w:p>
            <w:pPr>
              <w:spacing w:before="0" w:after="0"/>
              <w:spacing w:before="0" w:after="30"/>
            </w:pPr>
            <w:r>
              <w:rPr>
                <w:i/>
                <w:color w:val="6B7280"/>
                <w:sz w:val="18"/>
              </w:rPr>
              <w:t>Inventory aging, valuation, movement history, and low-stock alert reports</w:t>
            </w:r>
          </w:p>
          <w:p>
            <w:pPr>
              <w:spacing w:before="0" w:after="0"/>
              <w:spacing w:before="0" w:after="60"/>
            </w:pPr>
            <w:r>
              <w:rPr>
                <w:color w:val="4B5563"/>
                <w:sz w:val="17"/>
              </w:rPr>
              <w:t>Stock balance by item / branch  ·  Inventory valuation report  ·  Slow-moving / fast-moving analysis  ·  Reorder alert list</w:t>
            </w:r>
          </w:p>
        </w:tc>
        <w:tc>
          <w:tcPr>
            <w:tcW w:type="dxa" w:w="1587"/>
            <w:vAlign w:val="top"/>
          </w:tcPr>
          <w:p>
            <w:pPr>
              <w:jc w:val="right"/>
              <w:spacing w:before="0" w:after="0"/>
              <w:spacing w:before="60" w:after="0"/>
            </w:pPr>
          </w:p>
        </w:tc>
      </w:tr>
    </w:tbl>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406"/>
      </w:tblGrid>
      <w:tr>
        <w:tc>
          <w:tcPr>
            <w:tcW w:type="dxa" w:w="9406"/>
            <w:shd w:val="clear" w:color="auto" w:fill="1E3A5F"/>
          </w:tcPr>
          <w:p>
            <w:pPr>
              <w:jc w:val="left"/>
              <w:spacing w:before="0" w:after="0"/>
              <w:spacing w:before="60" w:after="60"/>
            </w:pPr>
            <w:r>
              <w:rPr>
                <w:b/>
                <w:i w:val="0"/>
                <w:color w:val="FFFFFF"/>
                <w:sz w:val="20"/>
              </w:rPr>
              <w:t>👥  Human Resources &amp; Payroll</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680"/>
            <w:shd w:val="clear" w:color="auto" w:fill="F3F4F6"/>
          </w:tcPr>
          <w:p>
            <w:pPr>
              <w:jc w:val="left"/>
              <w:spacing w:before="0" w:after="0"/>
              <w:spacing w:before="30" w:after="30"/>
            </w:pPr>
          </w:p>
        </w:tc>
        <w:tc>
          <w:tcPr>
            <w:tcW w:type="dxa" w:w="7087"/>
            <w:shd w:val="clear" w:color="auto" w:fill="F3F4F6"/>
          </w:tcPr>
          <w:p>
            <w:pPr>
              <w:jc w:val="left"/>
              <w:spacing w:before="0" w:after="0"/>
              <w:spacing w:before="30" w:after="30"/>
            </w:pPr>
            <w:r>
              <w:rPr>
                <w:b/>
                <w:i w:val="0"/>
                <w:color w:val="6B7280"/>
                <w:sz w:val="17"/>
              </w:rPr>
              <w:t>Module</w:t>
            </w:r>
          </w:p>
        </w:tc>
        <w:tc>
          <w:tcPr>
            <w:tcW w:type="dxa" w:w="1587"/>
            <w:shd w:val="clear" w:color="auto" w:fill="F3F4F6"/>
          </w:tcPr>
          <w:p>
            <w:pPr>
              <w:jc w:val="left"/>
              <w:spacing w:before="0" w:after="0"/>
              <w:spacing w:before="30" w:after="30"/>
            </w:pPr>
            <w:r>
              <w:rPr>
                <w:b/>
                <w:i w:val="0"/>
                <w:color w:val="6B7280"/>
                <w:sz w:val="17"/>
              </w:rPr>
              <w:t>Cost (PHP)</w:t>
            </w: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Employee Master</w:t>
            </w:r>
          </w:p>
          <w:p>
            <w:pPr>
              <w:spacing w:before="0" w:after="0"/>
              <w:spacing w:before="0" w:after="30"/>
            </w:pPr>
            <w:r>
              <w:rPr>
                <w:i/>
                <w:color w:val="6B7280"/>
                <w:sz w:val="18"/>
              </w:rPr>
              <w:t>Complete employee records including all government-mandated identification and employment details</w:t>
            </w:r>
          </w:p>
          <w:p>
            <w:pPr>
              <w:spacing w:before="0" w:after="0"/>
              <w:spacing w:before="0" w:after="60"/>
            </w:pPr>
            <w:r>
              <w:rPr>
                <w:color w:val="4B5563"/>
                <w:sz w:val="17"/>
              </w:rPr>
              <w:t>Employee code, name, position, department  ·  SSS, PhilHealth, Pag-IBIG numbers  ·  TIN &amp; BIR tax status (S / ME / etc.)  ·  Employment type (regular / probationary / contractual)  ·  Bank account for payroll crediting</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Payroll Computation</w:t>
            </w:r>
          </w:p>
          <w:p>
            <w:pPr>
              <w:spacing w:before="0" w:after="0"/>
              <w:spacing w:before="0" w:after="30"/>
            </w:pPr>
            <w:r>
              <w:rPr>
                <w:i/>
                <w:color w:val="6B7280"/>
                <w:sz w:val="18"/>
              </w:rPr>
              <w:t>Semi-monthly or monthly payroll processing; TRAIN Act-compliant income tax tables; all mandated deductions auto-computed</w:t>
            </w:r>
          </w:p>
          <w:p>
            <w:pPr>
              <w:spacing w:before="0" w:after="0"/>
              <w:spacing w:before="0" w:after="60"/>
            </w:pPr>
            <w:r>
              <w:rPr>
                <w:color w:val="4B5563"/>
                <w:sz w:val="17"/>
              </w:rPr>
              <w:t>Basic pay, allowances, overtime, holiday pay  ·  SSS, PhilHealth, Pag-IBIG deductions  ·  Withholding tax on compensation (TRAIN table)  ·  De minimis benefits  ·  Net pay computation  ·  Payslip generation (PDF)</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Government Remittances</w:t>
            </w:r>
          </w:p>
          <w:p>
            <w:pPr>
              <w:spacing w:before="0" w:after="0"/>
              <w:spacing w:before="0" w:after="30"/>
            </w:pPr>
            <w:r>
              <w:rPr>
                <w:i/>
                <w:color w:val="6B7280"/>
                <w:sz w:val="18"/>
              </w:rPr>
              <w:t>Generate all required contribution reports and schedules for government agencies</w:t>
            </w:r>
          </w:p>
          <w:p>
            <w:pPr>
              <w:spacing w:before="0" w:after="0"/>
              <w:spacing w:before="0" w:after="60"/>
            </w:pPr>
            <w:r>
              <w:rPr>
                <w:color w:val="4B5563"/>
                <w:sz w:val="17"/>
              </w:rPr>
              <w:t>SSS R-3 report  ·  PhilHealth RF-1 report  ·  Pag-IBIG remittance list  ·  BIR 1601-C (WT on compensation)  ·  BIR 2316 (employee tax certificate)  ·  Alphalist of employees (1604-CF)</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13th Month Pay</w:t>
            </w:r>
          </w:p>
          <w:p>
            <w:pPr>
              <w:spacing w:before="0" w:after="0"/>
              <w:spacing w:before="0" w:after="30"/>
            </w:pPr>
            <w:r>
              <w:rPr>
                <w:i/>
                <w:color w:val="6B7280"/>
                <w:sz w:val="18"/>
              </w:rPr>
              <w:t>Automatically compute 13th month pay per employee based on basic pay earned; pro-rated for new hires and resignees</w:t>
            </w:r>
          </w:p>
          <w:p>
            <w:pPr>
              <w:spacing w:before="0" w:after="0"/>
              <w:spacing w:before="0" w:after="60"/>
            </w:pPr>
            <w:r>
              <w:rPr>
                <w:color w:val="4B5563"/>
                <w:sz w:val="17"/>
              </w:rPr>
              <w:t>Annual 13th month computation  ·  Pro-rated for partial year  ·  BIR exemption threshold tracking</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Leave Management</w:t>
            </w:r>
          </w:p>
          <w:p>
            <w:pPr>
              <w:spacing w:before="0" w:after="0"/>
              <w:spacing w:before="0" w:after="30"/>
            </w:pPr>
            <w:r>
              <w:rPr>
                <w:i/>
                <w:color w:val="6B7280"/>
                <w:sz w:val="18"/>
              </w:rPr>
              <w:t>Track employee leave balances and applications; deduct leave without pay from payroll automatically</w:t>
            </w:r>
          </w:p>
          <w:p>
            <w:pPr>
              <w:spacing w:before="0" w:after="0"/>
              <w:spacing w:before="0" w:after="60"/>
            </w:pPr>
            <w:r>
              <w:rPr>
                <w:color w:val="4B5563"/>
                <w:sz w:val="17"/>
              </w:rPr>
              <w:t>Leave type setup (VL, SL, EL, Maternity, Paternity)  ·  Leave balance tracking  ·  Leave application &amp; approval  ·  Leave without pay deduction to payroll</w:t>
            </w:r>
          </w:p>
        </w:tc>
        <w:tc>
          <w:tcPr>
            <w:tcW w:type="dxa" w:w="1587"/>
            <w:vAlign w:val="top"/>
          </w:tcPr>
          <w:p>
            <w:pPr>
              <w:jc w:val="right"/>
              <w:spacing w:before="0" w:after="0"/>
              <w:spacing w:before="60" w:after="0"/>
            </w:pPr>
          </w:p>
        </w:tc>
      </w:tr>
    </w:tbl>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406"/>
      </w:tblGrid>
      <w:tr>
        <w:tc>
          <w:tcPr>
            <w:tcW w:type="dxa" w:w="9406"/>
            <w:shd w:val="clear" w:color="auto" w:fill="1E3A5F"/>
          </w:tcPr>
          <w:p>
            <w:pPr>
              <w:jc w:val="left"/>
              <w:spacing w:before="0" w:after="0"/>
              <w:spacing w:before="60" w:after="60"/>
            </w:pPr>
            <w:r>
              <w:rPr>
                <w:b/>
                <w:i w:val="0"/>
                <w:color w:val="FFFFFF"/>
                <w:sz w:val="20"/>
              </w:rPr>
              <w:t>🏭  Production / Manufacturing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680"/>
            <w:shd w:val="clear" w:color="auto" w:fill="F3F4F6"/>
          </w:tcPr>
          <w:p>
            <w:pPr>
              <w:jc w:val="left"/>
              <w:spacing w:before="0" w:after="0"/>
              <w:spacing w:before="30" w:after="30"/>
            </w:pPr>
          </w:p>
        </w:tc>
        <w:tc>
          <w:tcPr>
            <w:tcW w:type="dxa" w:w="7087"/>
            <w:shd w:val="clear" w:color="auto" w:fill="F3F4F6"/>
          </w:tcPr>
          <w:p>
            <w:pPr>
              <w:jc w:val="left"/>
              <w:spacing w:before="0" w:after="0"/>
              <w:spacing w:before="30" w:after="30"/>
            </w:pPr>
            <w:r>
              <w:rPr>
                <w:b/>
                <w:i w:val="0"/>
                <w:color w:val="6B7280"/>
                <w:sz w:val="17"/>
              </w:rPr>
              <w:t>Module</w:t>
            </w:r>
          </w:p>
        </w:tc>
        <w:tc>
          <w:tcPr>
            <w:tcW w:type="dxa" w:w="1587"/>
            <w:shd w:val="clear" w:color="auto" w:fill="F3F4F6"/>
          </w:tcPr>
          <w:p>
            <w:pPr>
              <w:jc w:val="left"/>
              <w:spacing w:before="0" w:after="0"/>
              <w:spacing w:before="30" w:after="30"/>
            </w:pPr>
            <w:r>
              <w:rPr>
                <w:b/>
                <w:i w:val="0"/>
                <w:color w:val="6B7280"/>
                <w:sz w:val="17"/>
              </w:rPr>
              <w:t>Cost (PHP)</w:t>
            </w: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Bill of Materials (BOM)</w:t>
            </w:r>
          </w:p>
          <w:p>
            <w:pPr>
              <w:spacing w:before="0" w:after="0"/>
              <w:spacing w:before="0" w:after="30"/>
            </w:pPr>
            <w:r>
              <w:rPr>
                <w:i/>
                <w:color w:val="6B7280"/>
                <w:sz w:val="18"/>
              </w:rPr>
              <w:t>Define the raw materials and components required to produce each finished product</w:t>
            </w:r>
          </w:p>
          <w:p>
            <w:pPr>
              <w:spacing w:before="0" w:after="0"/>
              <w:spacing w:before="0" w:after="60"/>
            </w:pPr>
            <w:r>
              <w:rPr>
                <w:color w:val="4B5563"/>
                <w:sz w:val="17"/>
              </w:rPr>
              <w:t>Multi-level BOM  ·  Component quantities per unit  ·  Standard cost computation</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Work Orders</w:t>
            </w:r>
          </w:p>
          <w:p>
            <w:pPr>
              <w:spacing w:before="0" w:after="0"/>
              <w:spacing w:before="0" w:after="30"/>
            </w:pPr>
            <w:r>
              <w:rPr>
                <w:i/>
                <w:color w:val="6B7280"/>
                <w:sz w:val="18"/>
              </w:rPr>
              <w:t>Authorize and track production runs; consume raw materials from inventory; record finished goods produced</w:t>
            </w:r>
          </w:p>
          <w:p>
            <w:pPr>
              <w:spacing w:before="0" w:after="0"/>
              <w:spacing w:before="0" w:after="60"/>
            </w:pPr>
            <w:r>
              <w:rPr>
                <w:color w:val="4B5563"/>
                <w:sz w:val="17"/>
              </w:rPr>
              <w:t>Work order numbering  ·  Material issuance from inventory  ·  Finished goods receipt  ·  Scrap / wastage tracking</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Production Costing &amp; Variance Reports</w:t>
            </w:r>
          </w:p>
          <w:p>
            <w:pPr>
              <w:spacing w:before="0" w:after="0"/>
              <w:spacing w:before="0" w:after="30"/>
            </w:pPr>
            <w:r>
              <w:rPr>
                <w:i/>
                <w:color w:val="6B7280"/>
                <w:sz w:val="18"/>
              </w:rPr>
              <w:t>Compare standard vs. actual production cost; auto-generate WIP and COGS journal entries</w:t>
            </w:r>
          </w:p>
          <w:p>
            <w:pPr>
              <w:spacing w:before="0" w:after="0"/>
              <w:spacing w:before="0" w:after="60"/>
            </w:pPr>
            <w:r>
              <w:rPr>
                <w:color w:val="4B5563"/>
                <w:sz w:val="17"/>
              </w:rPr>
              <w:t>Standard vs. actual cost comparison  ·  Material &amp; usage variance  ·  WIP → Finished Goods journal entries  ·  Production cost report</w:t>
            </w:r>
          </w:p>
        </w:tc>
        <w:tc>
          <w:tcPr>
            <w:tcW w:type="dxa" w:w="1587"/>
            <w:vAlign w:val="top"/>
          </w:tcPr>
          <w:p>
            <w:pPr>
              <w:jc w:val="right"/>
              <w:spacing w:before="0" w:after="0"/>
              <w:spacing w:before="60" w:after="0"/>
            </w:pPr>
          </w:p>
        </w:tc>
      </w:tr>
    </w:tbl>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406"/>
      </w:tblGrid>
      <w:tr>
        <w:tc>
          <w:tcPr>
            <w:tcW w:type="dxa" w:w="9406"/>
            <w:shd w:val="clear" w:color="auto" w:fill="1E3A5F"/>
          </w:tcPr>
          <w:p>
            <w:pPr>
              <w:jc w:val="left"/>
              <w:spacing w:before="0" w:after="0"/>
              <w:spacing w:before="60" w:after="60"/>
            </w:pPr>
            <w:r>
              <w:rPr>
                <w:b/>
                <w:i w:val="0"/>
                <w:color w:val="FFFFFF"/>
                <w:sz w:val="20"/>
              </w:rPr>
              <w:t>📈  Reporting &amp; Analytics</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680"/>
            <w:shd w:val="clear" w:color="auto" w:fill="F3F4F6"/>
          </w:tcPr>
          <w:p>
            <w:pPr>
              <w:jc w:val="left"/>
              <w:spacing w:before="0" w:after="0"/>
              <w:spacing w:before="30" w:after="30"/>
            </w:pPr>
          </w:p>
        </w:tc>
        <w:tc>
          <w:tcPr>
            <w:tcW w:type="dxa" w:w="7087"/>
            <w:shd w:val="clear" w:color="auto" w:fill="F3F4F6"/>
          </w:tcPr>
          <w:p>
            <w:pPr>
              <w:jc w:val="left"/>
              <w:spacing w:before="0" w:after="0"/>
              <w:spacing w:before="30" w:after="30"/>
            </w:pPr>
            <w:r>
              <w:rPr>
                <w:b/>
                <w:i w:val="0"/>
                <w:color w:val="6B7280"/>
                <w:sz w:val="17"/>
              </w:rPr>
              <w:t>Module</w:t>
            </w:r>
          </w:p>
        </w:tc>
        <w:tc>
          <w:tcPr>
            <w:tcW w:type="dxa" w:w="1587"/>
            <w:shd w:val="clear" w:color="auto" w:fill="F3F4F6"/>
          </w:tcPr>
          <w:p>
            <w:pPr>
              <w:jc w:val="left"/>
              <w:spacing w:before="0" w:after="0"/>
              <w:spacing w:before="30" w:after="30"/>
            </w:pPr>
            <w:r>
              <w:rPr>
                <w:b/>
                <w:i w:val="0"/>
                <w:color w:val="6B7280"/>
                <w:sz w:val="17"/>
              </w:rPr>
              <w:t>Cost (PHP)</w:t>
            </w: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Financial Statements</w:t>
            </w:r>
          </w:p>
          <w:p>
            <w:pPr>
              <w:spacing w:before="0" w:after="0"/>
              <w:spacing w:before="0" w:after="30"/>
            </w:pPr>
            <w:r>
              <w:rPr>
                <w:i/>
                <w:color w:val="6B7280"/>
                <w:sz w:val="18"/>
              </w:rPr>
              <w:t>Trial Balance, Income Statement, Balance Sheet, and Statement of Cash Flows — per period, per branch, or consolidated</w:t>
            </w:r>
          </w:p>
          <w:p>
            <w:pPr>
              <w:spacing w:before="0" w:after="0"/>
              <w:spacing w:before="0" w:after="60"/>
            </w:pPr>
            <w:r>
              <w:rPr>
                <w:color w:val="4B5563"/>
                <w:sz w:val="17"/>
              </w:rPr>
              <w:t>Trial Balance  ·  Income Statement (P&amp;L)  ·  Balance Sheet  ·  Statement of Cash Flows  ·  Excel / PDF export</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AR / AP Aging Reports</w:t>
            </w:r>
          </w:p>
          <w:p>
            <w:pPr>
              <w:spacing w:before="0" w:after="0"/>
              <w:spacing w:before="0" w:after="30"/>
            </w:pPr>
            <w:r>
              <w:rPr>
                <w:i/>
                <w:color w:val="6B7280"/>
                <w:sz w:val="18"/>
              </w:rPr>
              <w:t>Outstanding receivables and payables aged by 30 / 60 / 90 / 90+ day buckets</w:t>
            </w:r>
          </w:p>
          <w:p>
            <w:pPr>
              <w:spacing w:before="0" w:after="0"/>
              <w:spacing w:before="0" w:after="60"/>
            </w:pPr>
            <w:r>
              <w:rPr>
                <w:color w:val="4B5563"/>
                <w:sz w:val="17"/>
              </w:rPr>
              <w:t>AR Aging by customer  ·  AP Aging by vendor  ·  As-of-date aging  ·  Excel export</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Management Reports</w:t>
            </w:r>
          </w:p>
          <w:p>
            <w:pPr>
              <w:spacing w:before="0" w:after="0"/>
              <w:spacing w:before="0" w:after="30"/>
            </w:pPr>
            <w:r>
              <w:rPr>
                <w:i/>
                <w:color w:val="6B7280"/>
                <w:sz w:val="18"/>
              </w:rPr>
              <w:t>Operational reports for management decision-making beyond standard financial statements</w:t>
            </w:r>
          </w:p>
          <w:p>
            <w:pPr>
              <w:spacing w:before="0" w:after="0"/>
              <w:spacing w:before="0" w:after="60"/>
            </w:pPr>
            <w:r>
              <w:rPr>
                <w:color w:val="4B5563"/>
                <w:sz w:val="17"/>
              </w:rPr>
              <w:t>Sales summary by period / branch  ·  Purchase summary  ·  Top customers &amp; vendors  ·  Cash position report</w:t>
            </w:r>
          </w:p>
        </w:tc>
        <w:tc>
          <w:tcPr>
            <w:tcW w:type="dxa" w:w="1587"/>
            <w:vAlign w:val="top"/>
          </w:tcPr>
          <w:p>
            <w:pPr>
              <w:jc w:val="right"/>
              <w:spacing w:before="0" w:after="0"/>
              <w:spacing w:before="60" w:after="0"/>
            </w:pPr>
          </w:p>
        </w:tc>
      </w:tr>
    </w:tbl>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406"/>
      </w:tblGrid>
      <w:tr>
        <w:tc>
          <w:tcPr>
            <w:tcW w:type="dxa" w:w="9406"/>
            <w:shd w:val="clear" w:color="auto" w:fill="1E3A5F"/>
          </w:tcPr>
          <w:p>
            <w:pPr>
              <w:jc w:val="left"/>
              <w:spacing w:before="0" w:after="0"/>
              <w:spacing w:before="60" w:after="60"/>
            </w:pPr>
            <w:r>
              <w:rPr>
                <w:b/>
                <w:i w:val="0"/>
                <w:color w:val="FFFFFF"/>
                <w:sz w:val="20"/>
              </w:rPr>
              <w:t>⚙  System Features &amp; Integrations</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680"/>
            <w:shd w:val="clear" w:color="auto" w:fill="F3F4F6"/>
          </w:tcPr>
          <w:p>
            <w:pPr>
              <w:jc w:val="left"/>
              <w:spacing w:before="0" w:after="0"/>
              <w:spacing w:before="30" w:after="30"/>
            </w:pPr>
          </w:p>
        </w:tc>
        <w:tc>
          <w:tcPr>
            <w:tcW w:type="dxa" w:w="7087"/>
            <w:shd w:val="clear" w:color="auto" w:fill="F3F4F6"/>
          </w:tcPr>
          <w:p>
            <w:pPr>
              <w:jc w:val="left"/>
              <w:spacing w:before="0" w:after="0"/>
              <w:spacing w:before="30" w:after="30"/>
            </w:pPr>
            <w:r>
              <w:rPr>
                <w:b/>
                <w:i w:val="0"/>
                <w:color w:val="6B7280"/>
                <w:sz w:val="17"/>
              </w:rPr>
              <w:t>Module</w:t>
            </w:r>
          </w:p>
        </w:tc>
        <w:tc>
          <w:tcPr>
            <w:tcW w:type="dxa" w:w="1587"/>
            <w:shd w:val="clear" w:color="auto" w:fill="F3F4F6"/>
          </w:tcPr>
          <w:p>
            <w:pPr>
              <w:jc w:val="left"/>
              <w:spacing w:before="0" w:after="0"/>
              <w:spacing w:before="30" w:after="30"/>
            </w:pPr>
            <w:r>
              <w:rPr>
                <w:b/>
                <w:i w:val="0"/>
                <w:color w:val="6B7280"/>
                <w:sz w:val="17"/>
              </w:rPr>
              <w:t>Cost (PHP)</w:t>
            </w: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Document Attachments</w:t>
            </w:r>
          </w:p>
          <w:p>
            <w:pPr>
              <w:spacing w:before="0" w:after="0"/>
              <w:spacing w:before="0" w:after="30"/>
            </w:pPr>
            <w:r>
              <w:rPr>
                <w:i/>
                <w:color w:val="6B7280"/>
                <w:sz w:val="18"/>
              </w:rPr>
              <w:t>Attach scanned receipts, contracts, or photos directly to any transaction record</w:t>
            </w:r>
          </w:p>
          <w:p>
            <w:pPr>
              <w:spacing w:before="0" w:after="0"/>
              <w:spacing w:before="0" w:after="60"/>
            </w:pPr>
            <w:r>
              <w:rPr>
                <w:color w:val="4B5563"/>
                <w:sz w:val="17"/>
              </w:rPr>
              <w:t>File upload per transaction  ·  PDF, JPG, PNG support  ·  View / download in-app</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Email Notifications</w:t>
            </w:r>
          </w:p>
          <w:p>
            <w:pPr>
              <w:spacing w:before="0" w:after="0"/>
              <w:spacing w:before="0" w:after="30"/>
            </w:pPr>
            <w:r>
              <w:rPr>
                <w:i/>
                <w:color w:val="6B7280"/>
                <w:sz w:val="18"/>
              </w:rPr>
              <w:t>Automated email alerts for pending approvals, overdue balances, and key system events</w:t>
            </w:r>
          </w:p>
          <w:p>
            <w:pPr>
              <w:spacing w:before="0" w:after="0"/>
              <w:spacing w:before="0" w:after="60"/>
            </w:pPr>
            <w:r>
              <w:rPr>
                <w:color w:val="4B5563"/>
                <w:sz w:val="17"/>
              </w:rPr>
              <w:t>Approval request emails  ·  Overdue AR / AP alerts  ·  Low stock alerts  ·  Payroll processed notification</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Bulk Data Import</w:t>
            </w:r>
          </w:p>
          <w:p>
            <w:pPr>
              <w:spacing w:before="0" w:after="0"/>
              <w:spacing w:before="0" w:after="30"/>
            </w:pPr>
            <w:r>
              <w:rPr>
                <w:i/>
                <w:color w:val="6B7280"/>
                <w:sz w:val="18"/>
              </w:rPr>
              <w:t>Import master data and opening balances from Excel templates to accelerate system setup</w:t>
            </w:r>
          </w:p>
          <w:p>
            <w:pPr>
              <w:spacing w:before="0" w:after="0"/>
              <w:spacing w:before="0" w:after="60"/>
            </w:pPr>
            <w:r>
              <w:rPr>
                <w:color w:val="4B5563"/>
                <w:sz w:val="17"/>
              </w:rPr>
              <w:t>Customer / vendor import  ·  Chart of accounts import  ·  Opening balance upload  ·  Inventory count import</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Multi-Currency Support</w:t>
            </w:r>
          </w:p>
          <w:p>
            <w:pPr>
              <w:spacing w:before="0" w:after="0"/>
              <w:spacing w:before="0" w:after="30"/>
            </w:pPr>
            <w:r>
              <w:rPr>
                <w:i/>
                <w:color w:val="6B7280"/>
                <w:sz w:val="18"/>
              </w:rPr>
              <w:t>Transact in USD, EUR, and other foreign currencies; auto-post foreign exchange gain or loss on settlement</w:t>
            </w:r>
          </w:p>
          <w:p>
            <w:pPr>
              <w:spacing w:before="0" w:after="0"/>
              <w:spacing w:before="0" w:after="60"/>
            </w:pPr>
            <w:r>
              <w:rPr>
                <w:color w:val="4B5563"/>
                <w:sz w:val="17"/>
              </w:rPr>
              <w:t>Currency master with exchange rates  ·  BSP rate management  ·  Forex gain / loss journal entries  ·  Multi-currency AR / AP</w:t>
            </w:r>
          </w:p>
        </w:tc>
        <w:tc>
          <w:tcPr>
            <w:tcW w:type="dxa" w:w="1587"/>
            <w:vAlign w:val="top"/>
          </w:tcPr>
          <w:p>
            <w:pPr>
              <w:jc w:val="right"/>
              <w:spacing w:before="0" w:after="0"/>
              <w:spacing w:before="60" w:after="0"/>
            </w:pPr>
          </w:p>
        </w:tc>
      </w:tr>
      <w:tr>
        <w:tc>
          <w:tcPr>
            <w:tcW w:type="dxa" w:w="680"/>
            <w:vAlign w:val="top"/>
          </w:tcPr>
          <w:p>
            <w:pPr>
              <w:jc w:val="center"/>
              <w:spacing w:before="0" w:after="0"/>
              <w:spacing w:before="60" w:after="0"/>
            </w:pPr>
            <w:r>
              <w:rPr>
                <w:b/>
                <w:i w:val="0"/>
                <w:color w:val="111827"/>
                <w:sz w:val="24"/>
              </w:rPr>
              <w:t>☐</w:t>
            </w:r>
          </w:p>
        </w:tc>
        <w:tc>
          <w:tcPr>
            <w:tcW w:type="dxa" w:w="7087"/>
            <w:vAlign w:val="top"/>
          </w:tcPr>
          <w:p>
            <w:pPr>
              <w:jc w:val="left"/>
              <w:spacing w:before="0" w:after="0"/>
              <w:spacing w:before="60" w:after="20"/>
            </w:pPr>
            <w:r>
              <w:rPr>
                <w:b/>
                <w:color w:val="111827"/>
                <w:sz w:val="20"/>
              </w:rPr>
              <w:t>API Access &amp; Integration</w:t>
            </w:r>
          </w:p>
          <w:p>
            <w:pPr>
              <w:spacing w:before="0" w:after="0"/>
              <w:spacing w:before="0" w:after="30"/>
            </w:pPr>
            <w:r>
              <w:rPr>
                <w:i/>
                <w:color w:val="6B7280"/>
                <w:sz w:val="18"/>
              </w:rPr>
              <w:t>REST API endpoints for connecting the ERP to POS systems, e-commerce platforms, or third-party tools</w:t>
            </w:r>
          </w:p>
          <w:p>
            <w:pPr>
              <w:spacing w:before="0" w:after="0"/>
              <w:spacing w:before="0" w:after="60"/>
            </w:pPr>
            <w:r>
              <w:rPr>
                <w:color w:val="4B5563"/>
                <w:sz w:val="17"/>
              </w:rPr>
              <w:t>Authenticated REST endpoints  ·  Read / write access per module  ·  Webhook support</w:t>
            </w:r>
          </w:p>
        </w:tc>
        <w:tc>
          <w:tcPr>
            <w:tcW w:type="dxa" w:w="1587"/>
            <w:vAlign w:val="top"/>
          </w:tcPr>
          <w:p>
            <w:pPr>
              <w:jc w:val="right"/>
              <w:spacing w:before="0" w:after="0"/>
              <w:spacing w:before="60" w:after="0"/>
            </w:pPr>
          </w:p>
        </w:tc>
      </w:tr>
    </w:tbl>
    <w:p/>
    <w:p>
      <w:pPr>
        <w:spacing w:before="160" w:after="60"/>
        <w:pBdr>
          <w:bottom w:val="single" w:sz="6" w:space="1" w:color="1E3A5F"/>
        </w:pBdr>
      </w:pPr>
      <w:r>
        <w:rPr>
          <w:b/>
          <w:color w:val="FFFFFF"/>
          <w:sz w:val="22"/>
          <w:shd w:val="clear" w:color="auto" w:fill="1E3A5F"/>
        </w:rPr>
        <w:t xml:space="preserve">  4  </w:t>
      </w:r>
      <w:r>
        <w:rPr>
          <w:b/>
          <w:color w:val="1E3A5F"/>
          <w:sz w:val="28"/>
        </w:rPr>
        <w:t xml:space="preserve">   Investment Summary</w:t>
      </w:r>
    </w:p>
    <w:p>
      <w:pPr>
        <w:spacing w:before="0" w:after="80"/>
      </w:pPr>
      <w:r>
        <w:rPr>
          <w:b w:val="0"/>
          <w:i w:val="0"/>
          <w:color w:val="374151"/>
          <w:sz w:val="20"/>
        </w:rPr>
        <w:t>The investment below will be completed based on the modules checked in Section 3. Pricing is presented as a one-time development fee. An optional annual support and maintenance agreement is available separately.</w:t>
      </w:r>
    </w:p>
    <w:tbl>
      <w:tblPr>
        <w:tblW w:type="auto" w:w="0"/>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703"/>
        <w:gridCol w:w="4703"/>
      </w:tblGrid>
      <w:tr>
        <w:tc>
          <w:tcPr>
            <w:tcW w:type="dxa" w:w="7087"/>
            <w:shd w:val="clear" w:color="auto" w:fill="F0F4F8"/>
          </w:tcPr>
          <w:p>
            <w:pPr>
              <w:jc w:val="left"/>
              <w:spacing w:before="0" w:after="0"/>
              <w:spacing w:before="40" w:after="40"/>
            </w:pPr>
            <w:r>
              <w:rPr>
                <w:b/>
                <w:i w:val="0"/>
                <w:color w:val="1E3A5F"/>
                <w:sz w:val="19"/>
              </w:rPr>
              <w:t>Item</w:t>
            </w:r>
          </w:p>
        </w:tc>
        <w:tc>
          <w:tcPr>
            <w:tcW w:type="dxa" w:w="2268"/>
            <w:shd w:val="clear" w:color="auto" w:fill="F0F4F8"/>
          </w:tcPr>
          <w:p>
            <w:pPr>
              <w:jc w:val="right"/>
              <w:spacing w:before="0" w:after="0"/>
              <w:spacing w:before="40" w:after="40"/>
            </w:pPr>
            <w:r>
              <w:rPr>
                <w:b/>
                <w:i w:val="0"/>
                <w:color w:val="1E3A5F"/>
                <w:sz w:val="19"/>
              </w:rPr>
              <w:t>Amount (PHP)</w:t>
            </w:r>
          </w:p>
        </w:tc>
      </w:tr>
      <w:tr>
        <w:tc>
          <w:tcPr>
            <w:tcW w:type="dxa" w:w="7087"/>
          </w:tcPr>
          <w:p>
            <w:pPr>
              <w:jc w:val="left"/>
              <w:spacing w:before="0" w:after="0"/>
              <w:spacing w:before="40" w:after="40"/>
            </w:pPr>
            <w:r>
              <w:rPr>
                <w:b w:val="0"/>
                <w:i w:val="0"/>
                <w:color w:val="374151"/>
                <w:sz w:val="19"/>
              </w:rPr>
              <w:t>Foundation Package (always included)</w:t>
            </w:r>
          </w:p>
        </w:tc>
        <w:tc>
          <w:tcPr>
            <w:tcW w:type="dxa" w:w="2268"/>
          </w:tcPr>
          <w:p>
            <w:pPr>
              <w:jc w:val="right"/>
              <w:spacing w:before="0" w:after="0"/>
              <w:spacing w:before="40" w:after="40"/>
            </w:pPr>
            <w:r>
              <w:rPr>
                <w:b w:val="0"/>
                <w:i w:val="0"/>
                <w:color w:val="374151"/>
                <w:sz w:val="19"/>
              </w:rPr>
              <w:t>___________</w:t>
            </w:r>
          </w:p>
        </w:tc>
      </w:tr>
      <w:tr>
        <w:tc>
          <w:tcPr>
            <w:tcW w:type="dxa" w:w="7087"/>
            <w:shd w:val="clear" w:color="auto" w:fill="F3F4F6"/>
          </w:tcPr>
          <w:p>
            <w:pPr>
              <w:jc w:val="left"/>
              <w:spacing w:before="0" w:after="0"/>
              <w:spacing w:before="40" w:after="40"/>
            </w:pPr>
            <w:r>
              <w:rPr>
                <w:b w:val="0"/>
                <w:i w:val="0"/>
                <w:color w:val="374151"/>
                <w:sz w:val="19"/>
              </w:rPr>
              <w:t>Financial Management — selected modules</w:t>
            </w:r>
          </w:p>
        </w:tc>
        <w:tc>
          <w:tcPr>
            <w:tcW w:type="dxa" w:w="2268"/>
            <w:shd w:val="clear" w:color="auto" w:fill="F3F4F6"/>
          </w:tcPr>
          <w:p>
            <w:pPr>
              <w:jc w:val="right"/>
              <w:spacing w:before="0" w:after="0"/>
              <w:spacing w:before="40" w:after="40"/>
            </w:pPr>
            <w:r>
              <w:rPr>
                <w:b w:val="0"/>
                <w:i w:val="0"/>
                <w:color w:val="374151"/>
                <w:sz w:val="19"/>
              </w:rPr>
              <w:t>___________</w:t>
            </w:r>
          </w:p>
        </w:tc>
      </w:tr>
      <w:tr>
        <w:tc>
          <w:tcPr>
            <w:tcW w:type="dxa" w:w="7087"/>
          </w:tcPr>
          <w:p>
            <w:pPr>
              <w:jc w:val="left"/>
              <w:spacing w:before="0" w:after="0"/>
              <w:spacing w:before="40" w:after="40"/>
            </w:pPr>
            <w:r>
              <w:rPr>
                <w:b w:val="0"/>
                <w:i w:val="0"/>
                <w:color w:val="374151"/>
                <w:sz w:val="19"/>
              </w:rPr>
              <w:t>BIR Tax Compliance — selected modules</w:t>
            </w:r>
          </w:p>
        </w:tc>
        <w:tc>
          <w:tcPr>
            <w:tcW w:type="dxa" w:w="2268"/>
          </w:tcPr>
          <w:p>
            <w:pPr>
              <w:jc w:val="right"/>
              <w:spacing w:before="0" w:after="0"/>
              <w:spacing w:before="40" w:after="40"/>
            </w:pPr>
            <w:r>
              <w:rPr>
                <w:b w:val="0"/>
                <w:i w:val="0"/>
                <w:color w:val="374151"/>
                <w:sz w:val="19"/>
              </w:rPr>
              <w:t>___________</w:t>
            </w:r>
          </w:p>
        </w:tc>
      </w:tr>
      <w:tr>
        <w:tc>
          <w:tcPr>
            <w:tcW w:type="dxa" w:w="7087"/>
            <w:shd w:val="clear" w:color="auto" w:fill="F3F4F6"/>
          </w:tcPr>
          <w:p>
            <w:pPr>
              <w:jc w:val="left"/>
              <w:spacing w:before="0" w:after="0"/>
              <w:spacing w:before="40" w:after="40"/>
            </w:pPr>
            <w:r>
              <w:rPr>
                <w:b w:val="0"/>
                <w:i w:val="0"/>
                <w:color w:val="374151"/>
                <w:sz w:val="19"/>
              </w:rPr>
              <w:t>Sales &amp; Procurement Cycle — selected modules</w:t>
            </w:r>
          </w:p>
        </w:tc>
        <w:tc>
          <w:tcPr>
            <w:tcW w:type="dxa" w:w="2268"/>
            <w:shd w:val="clear" w:color="auto" w:fill="F3F4F6"/>
          </w:tcPr>
          <w:p>
            <w:pPr>
              <w:jc w:val="right"/>
              <w:spacing w:before="0" w:after="0"/>
              <w:spacing w:before="40" w:after="40"/>
            </w:pPr>
            <w:r>
              <w:rPr>
                <w:b w:val="0"/>
                <w:i w:val="0"/>
                <w:color w:val="374151"/>
                <w:sz w:val="19"/>
              </w:rPr>
              <w:t>___________</w:t>
            </w:r>
          </w:p>
        </w:tc>
      </w:tr>
      <w:tr>
        <w:tc>
          <w:tcPr>
            <w:tcW w:type="dxa" w:w="7087"/>
          </w:tcPr>
          <w:p>
            <w:pPr>
              <w:jc w:val="left"/>
              <w:spacing w:before="0" w:after="0"/>
              <w:spacing w:before="40" w:after="40"/>
            </w:pPr>
            <w:r>
              <w:rPr>
                <w:b w:val="0"/>
                <w:i w:val="0"/>
                <w:color w:val="374151"/>
                <w:sz w:val="19"/>
              </w:rPr>
              <w:t>Inventory Management — selected modules</w:t>
            </w:r>
          </w:p>
        </w:tc>
        <w:tc>
          <w:tcPr>
            <w:tcW w:type="dxa" w:w="2268"/>
          </w:tcPr>
          <w:p>
            <w:pPr>
              <w:jc w:val="right"/>
              <w:spacing w:before="0" w:after="0"/>
              <w:spacing w:before="40" w:after="40"/>
            </w:pPr>
            <w:r>
              <w:rPr>
                <w:b w:val="0"/>
                <w:i w:val="0"/>
                <w:color w:val="374151"/>
                <w:sz w:val="19"/>
              </w:rPr>
              <w:t>___________</w:t>
            </w:r>
          </w:p>
        </w:tc>
      </w:tr>
      <w:tr>
        <w:tc>
          <w:tcPr>
            <w:tcW w:type="dxa" w:w="7087"/>
            <w:shd w:val="clear" w:color="auto" w:fill="F3F4F6"/>
          </w:tcPr>
          <w:p>
            <w:pPr>
              <w:jc w:val="left"/>
              <w:spacing w:before="0" w:after="0"/>
              <w:spacing w:before="40" w:after="40"/>
            </w:pPr>
            <w:r>
              <w:rPr>
                <w:b w:val="0"/>
                <w:i w:val="0"/>
                <w:color w:val="374151"/>
                <w:sz w:val="19"/>
              </w:rPr>
              <w:t>Human Resources &amp; Payroll — selected modules</w:t>
            </w:r>
          </w:p>
        </w:tc>
        <w:tc>
          <w:tcPr>
            <w:tcW w:type="dxa" w:w="2268"/>
            <w:shd w:val="clear" w:color="auto" w:fill="F3F4F6"/>
          </w:tcPr>
          <w:p>
            <w:pPr>
              <w:jc w:val="right"/>
              <w:spacing w:before="0" w:after="0"/>
              <w:spacing w:before="40" w:after="40"/>
            </w:pPr>
            <w:r>
              <w:rPr>
                <w:b w:val="0"/>
                <w:i w:val="0"/>
                <w:color w:val="374151"/>
                <w:sz w:val="19"/>
              </w:rPr>
              <w:t>___________</w:t>
            </w:r>
          </w:p>
        </w:tc>
      </w:tr>
      <w:tr>
        <w:tc>
          <w:tcPr>
            <w:tcW w:type="dxa" w:w="7087"/>
          </w:tcPr>
          <w:p>
            <w:pPr>
              <w:jc w:val="left"/>
              <w:spacing w:before="0" w:after="0"/>
              <w:spacing w:before="40" w:after="40"/>
            </w:pPr>
            <w:r>
              <w:rPr>
                <w:b w:val="0"/>
                <w:i w:val="0"/>
                <w:color w:val="374151"/>
                <w:sz w:val="19"/>
              </w:rPr>
              <w:t>Production / Manufacturing — selected modules</w:t>
            </w:r>
          </w:p>
        </w:tc>
        <w:tc>
          <w:tcPr>
            <w:tcW w:type="dxa" w:w="2268"/>
          </w:tcPr>
          <w:p>
            <w:pPr>
              <w:jc w:val="right"/>
              <w:spacing w:before="0" w:after="0"/>
              <w:spacing w:before="40" w:after="40"/>
            </w:pPr>
            <w:r>
              <w:rPr>
                <w:b w:val="0"/>
                <w:i w:val="0"/>
                <w:color w:val="374151"/>
                <w:sz w:val="19"/>
              </w:rPr>
              <w:t>___________</w:t>
            </w:r>
          </w:p>
        </w:tc>
      </w:tr>
      <w:tr>
        <w:tc>
          <w:tcPr>
            <w:tcW w:type="dxa" w:w="7087"/>
            <w:shd w:val="clear" w:color="auto" w:fill="F3F4F6"/>
          </w:tcPr>
          <w:p>
            <w:pPr>
              <w:jc w:val="left"/>
              <w:spacing w:before="0" w:after="0"/>
              <w:spacing w:before="40" w:after="40"/>
            </w:pPr>
            <w:r>
              <w:rPr>
                <w:b w:val="0"/>
                <w:i w:val="0"/>
                <w:color w:val="374151"/>
                <w:sz w:val="19"/>
              </w:rPr>
              <w:t>Reporting, System Features &amp; Integrations</w:t>
            </w:r>
          </w:p>
        </w:tc>
        <w:tc>
          <w:tcPr>
            <w:tcW w:type="dxa" w:w="2268"/>
            <w:shd w:val="clear" w:color="auto" w:fill="F3F4F6"/>
          </w:tcPr>
          <w:p>
            <w:pPr>
              <w:jc w:val="right"/>
              <w:spacing w:before="0" w:after="0"/>
              <w:spacing w:before="40" w:after="40"/>
            </w:pPr>
            <w:r>
              <w:rPr>
                <w:b w:val="0"/>
                <w:i w:val="0"/>
                <w:color w:val="374151"/>
                <w:sz w:val="19"/>
              </w:rPr>
              <w:t>___________</w:t>
            </w:r>
          </w:p>
        </w:tc>
      </w:tr>
      <w:tr>
        <w:tc>
          <w:tcPr>
            <w:tcW w:type="dxa" w:w="7087"/>
          </w:tcPr>
          <w:p>
            <w:pPr>
              <w:jc w:val="left"/>
              <w:spacing w:before="0" w:after="0"/>
              <w:spacing w:before="40" w:after="40"/>
            </w:pPr>
            <w:r>
              <w:rPr>
                <w:b w:val="0"/>
                <w:i w:val="0"/>
                <w:color w:val="374151"/>
                <w:sz w:val="19"/>
              </w:rPr>
              <w:t>Data Migration &amp; System Setup</w:t>
            </w:r>
          </w:p>
        </w:tc>
        <w:tc>
          <w:tcPr>
            <w:tcW w:type="dxa" w:w="2268"/>
          </w:tcPr>
          <w:p>
            <w:pPr>
              <w:jc w:val="right"/>
              <w:spacing w:before="0" w:after="0"/>
              <w:spacing w:before="40" w:after="40"/>
            </w:pPr>
            <w:r>
              <w:rPr>
                <w:b w:val="0"/>
                <w:i w:val="0"/>
                <w:color w:val="374151"/>
                <w:sz w:val="19"/>
              </w:rPr>
              <w:t>___________</w:t>
            </w:r>
          </w:p>
        </w:tc>
      </w:tr>
      <w:tr>
        <w:tc>
          <w:tcPr>
            <w:tcW w:type="dxa" w:w="7087"/>
            <w:shd w:val="clear" w:color="auto" w:fill="F3F4F6"/>
          </w:tcPr>
          <w:p>
            <w:pPr>
              <w:jc w:val="left"/>
              <w:spacing w:before="0" w:after="0"/>
              <w:spacing w:before="40" w:after="40"/>
            </w:pPr>
            <w:r>
              <w:rPr>
                <w:b w:val="0"/>
                <w:i w:val="0"/>
                <w:color w:val="374151"/>
                <w:sz w:val="19"/>
              </w:rPr>
              <w:t>User Training &amp; Go-Live Support</w:t>
            </w:r>
          </w:p>
        </w:tc>
        <w:tc>
          <w:tcPr>
            <w:tcW w:type="dxa" w:w="2268"/>
            <w:shd w:val="clear" w:color="auto" w:fill="F3F4F6"/>
          </w:tcPr>
          <w:p>
            <w:pPr>
              <w:jc w:val="right"/>
              <w:spacing w:before="0" w:after="0"/>
              <w:spacing w:before="40" w:after="40"/>
            </w:pPr>
            <w:r>
              <w:rPr>
                <w:b w:val="0"/>
                <w:i w:val="0"/>
                <w:color w:val="374151"/>
                <w:sz w:val="19"/>
              </w:rPr>
              <w:t>___________</w:t>
            </w:r>
          </w:p>
        </w:tc>
      </w:tr>
      <w:tr>
        <w:tc>
          <w:tcPr>
            <w:tcW w:type="dxa" w:w="7087"/>
          </w:tcPr>
          <w:p>
            <w:pPr>
              <w:jc w:val="left"/>
              <w:spacing w:before="0" w:after="0"/>
              <w:spacing w:before="40" w:after="40"/>
            </w:pPr>
            <w:r>
              <w:rPr>
                <w:b w:val="0"/>
                <w:i/>
                <w:color w:val="6B7280"/>
                <w:sz w:val="18"/>
              </w:rPr>
              <w:t>Annual Support &amp; Maintenance (optional)</w:t>
            </w:r>
          </w:p>
        </w:tc>
        <w:tc>
          <w:tcPr>
            <w:tcW w:type="dxa" w:w="2268"/>
          </w:tcPr>
          <w:p>
            <w:pPr>
              <w:jc w:val="right"/>
              <w:spacing w:before="0" w:after="0"/>
              <w:spacing w:before="40" w:after="40"/>
            </w:pPr>
            <w:r>
              <w:rPr>
                <w:b w:val="0"/>
                <w:i/>
                <w:color w:val="6B7280"/>
                <w:sz w:val="18"/>
              </w:rPr>
              <w:t>___________</w:t>
            </w:r>
          </w:p>
        </w:tc>
      </w:tr>
      <w:tr>
        <w:tc>
          <w:tcPr>
            <w:tcW w:type="dxa" w:w="7087"/>
            <w:shd w:val="clear" w:color="auto" w:fill="1E3A5F"/>
          </w:tcPr>
          <w:p>
            <w:pPr>
              <w:jc w:val="left"/>
              <w:spacing w:before="0" w:after="0"/>
              <w:spacing w:before="60" w:after="60"/>
            </w:pPr>
            <w:r>
              <w:rPr>
                <w:b/>
                <w:i w:val="0"/>
                <w:color w:val="FFFFFF"/>
                <w:sz w:val="22"/>
              </w:rPr>
              <w:t>TOTAL PROJECT INVESTMENT</w:t>
            </w:r>
          </w:p>
        </w:tc>
        <w:tc>
          <w:tcPr>
            <w:tcW w:type="dxa" w:w="2268"/>
            <w:shd w:val="clear" w:color="auto" w:fill="1E3A5F"/>
          </w:tcPr>
          <w:p>
            <w:pPr>
              <w:jc w:val="right"/>
              <w:spacing w:before="0" w:after="0"/>
              <w:spacing w:before="60" w:after="60"/>
            </w:pPr>
            <w:r>
              <w:rPr>
                <w:b/>
                <w:i w:val="0"/>
                <w:color w:val="FFFFFF"/>
                <w:sz w:val="22"/>
              </w:rPr>
              <w:t>PHP ___________</w:t>
            </w:r>
          </w:p>
        </w:tc>
      </w:tr>
    </w:tbl>
    <w:p/>
    <w:tbl>
      <w:tblPr>
        <w:tblW w:type="auto" w:w="0"/>
        <w:jc w:val="left"/>
        <w:tblLook w:firstColumn="1" w:firstRow="1" w:lastColumn="0" w:lastRow="0" w:noHBand="0" w:noVBand="1" w:val="04A0"/>
        <w:tblBorders>
          <w:top w:val="single" w:sz="4" w:space="0" w:color="FCD34D"/>
          <w:left w:val="single" w:sz="4" w:space="0" w:color="FCD34D"/>
          <w:bottom w:val="single" w:sz="4" w:space="0" w:color="FCD34D"/>
          <w:right w:val="single" w:sz="4" w:space="0" w:color="FCD34D"/>
          <w:insideH w:val="single" w:sz="4" w:space="0" w:color="FCD34D"/>
          <w:insideV w:val="single" w:sz="4" w:space="0" w:color="FCD34D"/>
        </w:tblBorders>
      </w:tblPr>
      <w:tblGrid>
        <w:gridCol w:w="9406"/>
      </w:tblGrid>
      <w:tr>
        <w:tc>
          <w:tcPr>
            <w:tcW w:type="dxa" w:w="9406"/>
            <w:shd w:val="clear" w:color="auto" w:fill="FFFBEB"/>
          </w:tcPr>
          <w:p>
            <w:pPr>
              <w:jc w:val="left"/>
              <w:spacing w:before="0" w:after="0"/>
              <w:spacing w:before="60" w:after="60"/>
            </w:pPr>
            <w:r>
              <w:rPr>
                <w:b w:val="0"/>
                <w:i w:val="0"/>
                <w:color w:val="78350F"/>
                <w:sz w:val="19"/>
              </w:rPr>
              <w:t>Payment Terms (typical arrangement): 50% upon contract signing · 30% upon successful User Acceptance Testing (UAT) · 20% upon go-live. Final terms to be agreed in the contract.</w:t>
            </w:r>
          </w:p>
        </w:tc>
      </w:tr>
    </w:tbl>
    <w:p/>
    <w:p>
      <w:pPr>
        <w:spacing w:before="160" w:after="60"/>
        <w:pBdr>
          <w:bottom w:val="single" w:sz="6" w:space="1" w:color="1E3A5F"/>
        </w:pBdr>
      </w:pPr>
      <w:r>
        <w:rPr>
          <w:b/>
          <w:color w:val="FFFFFF"/>
          <w:sz w:val="22"/>
          <w:shd w:val="clear" w:color="auto" w:fill="1E3A5F"/>
        </w:rPr>
        <w:t xml:space="preserve">  5  </w:t>
      </w:r>
      <w:r>
        <w:rPr>
          <w:b/>
          <w:color w:val="1E3A5F"/>
          <w:sz w:val="28"/>
        </w:rPr>
        <w:t xml:space="preserve">   Estimated Project Timeline</w:t>
      </w:r>
    </w:p>
    <w:p>
      <w:pPr>
        <w:spacing w:before="0" w:after="80"/>
      </w:pPr>
      <w:r>
        <w:rPr>
          <w:b w:val="0"/>
          <w:i w:val="0"/>
          <w:color w:val="374151"/>
          <w:sz w:val="20"/>
        </w:rPr>
        <w:t>The timeline below reflects the full-scope scenario. Phases for modules not selected will be skipped, reducing the total duration proportionally. A core accounting + AR/AP + Sales + Procurement package (without HR or Production) is typically completed in 20–24 weeks.</w:t>
      </w:r>
    </w:p>
    <w:tbl>
      <w:tblPr>
        <w:tblW w:type="auto" w:w="0"/>
        <w:tblLook w:firstColumn="1" w:firstRow="1" w:lastColumn="0" w:lastRow="0" w:noHBand="0" w:noVBand="1" w:val="04A0"/>
        <w:jc w:val="lef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703"/>
        <w:gridCol w:w="4703"/>
      </w:tblGrid>
      <w:tr>
        <w:tc>
          <w:tcPr>
            <w:tcW w:type="dxa" w:w="283"/>
            <w:shd w:val="clear" w:color="auto" w:fill="2563EB"/>
          </w:tcPr>
          <w:p>
            <w:pPr>
              <w:jc w:val="left"/>
              <w:spacing w:before="0" w:after="0"/>
            </w:pPr>
          </w:p>
        </w:tc>
        <w:tc>
          <w:tcPr>
            <w:tcW w:type="dxa" w:w="9071"/>
          </w:tcPr>
          <w:p>
            <w:pPr>
              <w:spacing w:before="0" w:after="0"/>
              <w:spacing w:before="60" w:after="20"/>
            </w:pPr>
            <w:r>
              <w:rPr>
                <w:b/>
                <w:color w:val="1E3A5F"/>
                <w:sz w:val="20"/>
              </w:rPr>
              <w:t>Phase 1 — Foundation &amp; Core Accounting</w:t>
            </w:r>
          </w:p>
          <w:p>
            <w:pPr>
              <w:spacing w:before="0" w:after="0"/>
              <w:spacing w:before="0" w:after="20"/>
            </w:pPr>
            <w:r>
              <w:rPr>
                <w:b/>
                <w:color w:val="2563EB"/>
                <w:sz w:val="18"/>
              </w:rPr>
              <w:t>Weeks 1 – 4</w:t>
            </w:r>
          </w:p>
          <w:p>
            <w:pPr>
              <w:spacing w:before="0" w:after="0"/>
              <w:spacing w:before="0" w:after="60"/>
            </w:pPr>
            <w:r>
              <w:rPr>
                <w:color w:val="374151"/>
                <w:sz w:val="18"/>
              </w:rPr>
              <w:t>Chart of accounts, journal entries, user accounts and roles, branch setup, accounting period management, audit trail, dashboard</w:t>
            </w:r>
          </w:p>
        </w:tc>
      </w:tr>
      <w:tr>
        <w:tc>
          <w:tcPr>
            <w:tcW w:type="dxa" w:w="283"/>
            <w:shd w:val="clear" w:color="auto" w:fill="1E3A5F"/>
          </w:tcPr>
          <w:p>
            <w:pPr>
              <w:jc w:val="left"/>
              <w:spacing w:before="0" w:after="0"/>
            </w:pPr>
          </w:p>
        </w:tc>
        <w:tc>
          <w:tcPr>
            <w:tcW w:type="dxa" w:w="9071"/>
            <w:shd w:val="clear" w:color="auto" w:fill="F3F4F6"/>
          </w:tcPr>
          <w:p>
            <w:pPr>
              <w:spacing w:before="0" w:after="0"/>
              <w:spacing w:before="60" w:after="20"/>
            </w:pPr>
            <w:r>
              <w:rPr>
                <w:b/>
                <w:color w:val="1E3A5F"/>
                <w:sz w:val="20"/>
              </w:rPr>
              <w:t>Phase 2 — Financial Management &amp; BIR Compliance</w:t>
            </w:r>
          </w:p>
          <w:p>
            <w:pPr>
              <w:spacing w:before="0" w:after="0"/>
              <w:spacing w:before="0" w:after="20"/>
            </w:pPr>
            <w:r>
              <w:rPr>
                <w:b/>
                <w:color w:val="2563EB"/>
                <w:sz w:val="18"/>
              </w:rPr>
              <w:t>Weeks 5 – 10</w:t>
            </w:r>
          </w:p>
          <w:p>
            <w:pPr>
              <w:spacing w:before="0" w:after="0"/>
              <w:spacing w:before="0" w:after="60"/>
            </w:pPr>
            <w:r>
              <w:rPr>
                <w:color w:val="374151"/>
                <w:sz w:val="18"/>
              </w:rPr>
              <w:t>Accounts receivable, accounts payable, receipts, cash disbursements, VAT management, withholding tax, BIR reports, fixed assets, bank reconciliation</w:t>
            </w:r>
          </w:p>
        </w:tc>
      </w:tr>
      <w:tr>
        <w:tc>
          <w:tcPr>
            <w:tcW w:type="dxa" w:w="283"/>
            <w:shd w:val="clear" w:color="auto" w:fill="2563EB"/>
          </w:tcPr>
          <w:p>
            <w:pPr>
              <w:jc w:val="left"/>
              <w:spacing w:before="0" w:after="0"/>
            </w:pPr>
          </w:p>
        </w:tc>
        <w:tc>
          <w:tcPr>
            <w:tcW w:type="dxa" w:w="9071"/>
          </w:tcPr>
          <w:p>
            <w:pPr>
              <w:spacing w:before="0" w:after="0"/>
              <w:spacing w:before="60" w:after="20"/>
            </w:pPr>
            <w:r>
              <w:rPr>
                <w:b/>
                <w:color w:val="1E3A5F"/>
                <w:sz w:val="20"/>
              </w:rPr>
              <w:t>Phase 3 — Sales &amp; Procurement Cycles</w:t>
            </w:r>
          </w:p>
          <w:p>
            <w:pPr>
              <w:spacing w:before="0" w:after="0"/>
              <w:spacing w:before="0" w:after="20"/>
            </w:pPr>
            <w:r>
              <w:rPr>
                <w:b/>
                <w:color w:val="2563EB"/>
                <w:sz w:val="18"/>
              </w:rPr>
              <w:t>Weeks 11 – 16</w:t>
            </w:r>
          </w:p>
          <w:p>
            <w:pPr>
              <w:spacing w:before="0" w:after="0"/>
              <w:spacing w:before="0" w:after="60"/>
            </w:pPr>
            <w:r>
              <w:rPr>
                <w:color w:val="374151"/>
                <w:sz w:val="18"/>
              </w:rPr>
              <w:t>Customer and vendor master, sales quotations, sales orders, delivery receipts, purchase requests, purchase orders, receiving reports, 3-way matching, price lists</w:t>
            </w:r>
          </w:p>
        </w:tc>
      </w:tr>
      <w:tr>
        <w:tc>
          <w:tcPr>
            <w:tcW w:type="dxa" w:w="283"/>
            <w:shd w:val="clear" w:color="auto" w:fill="1E3A5F"/>
          </w:tcPr>
          <w:p>
            <w:pPr>
              <w:jc w:val="left"/>
              <w:spacing w:before="0" w:after="0"/>
            </w:pPr>
          </w:p>
        </w:tc>
        <w:tc>
          <w:tcPr>
            <w:tcW w:type="dxa" w:w="9071"/>
            <w:shd w:val="clear" w:color="auto" w:fill="F3F4F6"/>
          </w:tcPr>
          <w:p>
            <w:pPr>
              <w:spacing w:before="0" w:after="0"/>
              <w:spacing w:before="60" w:after="20"/>
            </w:pPr>
            <w:r>
              <w:rPr>
                <w:b/>
                <w:color w:val="1E3A5F"/>
                <w:sz w:val="20"/>
              </w:rPr>
              <w:t>Phase 4 — Inventory Management</w:t>
            </w:r>
          </w:p>
          <w:p>
            <w:pPr>
              <w:spacing w:before="0" w:after="0"/>
              <w:spacing w:before="0" w:after="20"/>
            </w:pPr>
            <w:r>
              <w:rPr>
                <w:b/>
                <w:color w:val="2563EB"/>
                <w:sz w:val="18"/>
              </w:rPr>
              <w:t>Weeks 17 – 20</w:t>
            </w:r>
          </w:p>
          <w:p>
            <w:pPr>
              <w:spacing w:before="0" w:after="0"/>
              <w:spacing w:before="0" w:after="60"/>
            </w:pPr>
            <w:r>
              <w:rPr>
                <w:color w:val="374151"/>
                <w:sz w:val="18"/>
              </w:rPr>
              <w:t>Item master, stock movements and ledger, inventory valuation (FIFO / Weighted Average), physical count, reorder alerts, inventory reports</w:t>
            </w:r>
          </w:p>
        </w:tc>
      </w:tr>
      <w:tr>
        <w:tc>
          <w:tcPr>
            <w:tcW w:type="dxa" w:w="283"/>
            <w:shd w:val="clear" w:color="auto" w:fill="2563EB"/>
          </w:tcPr>
          <w:p>
            <w:pPr>
              <w:jc w:val="left"/>
              <w:spacing w:before="0" w:after="0"/>
            </w:pPr>
          </w:p>
        </w:tc>
        <w:tc>
          <w:tcPr>
            <w:tcW w:type="dxa" w:w="9071"/>
          </w:tcPr>
          <w:p>
            <w:pPr>
              <w:spacing w:before="0" w:after="0"/>
              <w:spacing w:before="60" w:after="20"/>
            </w:pPr>
            <w:r>
              <w:rPr>
                <w:b/>
                <w:color w:val="1E3A5F"/>
                <w:sz w:val="20"/>
              </w:rPr>
              <w:t>Phase 5 — Human Resources &amp; Payroll</w:t>
            </w:r>
          </w:p>
          <w:p>
            <w:pPr>
              <w:spacing w:before="0" w:after="0"/>
              <w:spacing w:before="0" w:after="20"/>
            </w:pPr>
            <w:r>
              <w:rPr>
                <w:b/>
                <w:color w:val="2563EB"/>
                <w:sz w:val="18"/>
              </w:rPr>
              <w:t>Weeks 21 – 27</w:t>
            </w:r>
          </w:p>
          <w:p>
            <w:pPr>
              <w:spacing w:before="0" w:after="0"/>
              <w:spacing w:before="0" w:after="60"/>
            </w:pPr>
            <w:r>
              <w:rPr>
                <w:color w:val="374151"/>
                <w:sz w:val="18"/>
              </w:rPr>
              <w:t>Employee master, payroll computation (TRAIN Act), government remittances (SSS / PhilHealth / Pag-IBIG), 13th month pay, leave management, payslip generation</w:t>
            </w:r>
          </w:p>
        </w:tc>
      </w:tr>
      <w:tr>
        <w:tc>
          <w:tcPr>
            <w:tcW w:type="dxa" w:w="283"/>
            <w:shd w:val="clear" w:color="auto" w:fill="1E3A5F"/>
          </w:tcPr>
          <w:p>
            <w:pPr>
              <w:jc w:val="left"/>
              <w:spacing w:before="0" w:after="0"/>
            </w:pPr>
          </w:p>
        </w:tc>
        <w:tc>
          <w:tcPr>
            <w:tcW w:type="dxa" w:w="9071"/>
            <w:shd w:val="clear" w:color="auto" w:fill="F3F4F6"/>
          </w:tcPr>
          <w:p>
            <w:pPr>
              <w:spacing w:before="0" w:after="0"/>
              <w:spacing w:before="60" w:after="20"/>
            </w:pPr>
            <w:r>
              <w:rPr>
                <w:b/>
                <w:color w:val="1E3A5F"/>
                <w:sz w:val="20"/>
              </w:rPr>
              <w:t>Phase 6 — Production &amp; Advanced Features</w:t>
            </w:r>
          </w:p>
          <w:p>
            <w:pPr>
              <w:spacing w:before="0" w:after="0"/>
              <w:spacing w:before="0" w:after="20"/>
            </w:pPr>
            <w:r>
              <w:rPr>
                <w:b/>
                <w:color w:val="2563EB"/>
                <w:sz w:val="18"/>
              </w:rPr>
              <w:t>Weeks 28 – 33</w:t>
            </w:r>
          </w:p>
          <w:p>
            <w:pPr>
              <w:spacing w:before="0" w:after="0"/>
              <w:spacing w:before="0" w:after="60"/>
            </w:pPr>
            <w:r>
              <w:rPr>
                <w:color w:val="374151"/>
                <w:sz w:val="18"/>
              </w:rPr>
              <w:t>Bill of materials, work orders, production costing, variance reports, budgeting, advanced reporting, bulk data import, email notifications, API access, multi-currency</w:t>
            </w:r>
          </w:p>
        </w:tc>
      </w:tr>
      <w:tr>
        <w:tc>
          <w:tcPr>
            <w:tcW w:type="dxa" w:w="283"/>
            <w:shd w:val="clear" w:color="auto" w:fill="2563EB"/>
          </w:tcPr>
          <w:p>
            <w:pPr>
              <w:jc w:val="left"/>
              <w:spacing w:before="0" w:after="0"/>
            </w:pPr>
          </w:p>
        </w:tc>
        <w:tc>
          <w:tcPr>
            <w:tcW w:type="dxa" w:w="9071"/>
          </w:tcPr>
          <w:p>
            <w:pPr>
              <w:spacing w:before="0" w:after="0"/>
              <w:spacing w:before="60" w:after="20"/>
            </w:pPr>
            <w:r>
              <w:rPr>
                <w:b/>
                <w:color w:val="1E3A5F"/>
                <w:sz w:val="20"/>
              </w:rPr>
              <w:t>Phase 7 — User Acceptance Testing &amp; Go-Live</w:t>
            </w:r>
          </w:p>
          <w:p>
            <w:pPr>
              <w:spacing w:before="0" w:after="0"/>
              <w:spacing w:before="0" w:after="20"/>
            </w:pPr>
            <w:r>
              <w:rPr>
                <w:b/>
                <w:color w:val="2563EB"/>
                <w:sz w:val="18"/>
              </w:rPr>
              <w:t>Weeks 34 – 37</w:t>
            </w:r>
          </w:p>
          <w:p>
            <w:pPr>
              <w:spacing w:before="0" w:after="0"/>
              <w:spacing w:before="0" w:after="60"/>
            </w:pPr>
            <w:r>
              <w:rPr>
                <w:color w:val="374151"/>
                <w:sz w:val="18"/>
              </w:rPr>
              <w:t>Full UAT with key users per module, bug resolution, historical data migration, user training, go-live support, and post-launch monitoring</w:t>
            </w:r>
          </w:p>
        </w:tc>
      </w:tr>
    </w:tbl>
    <w:p/>
    <w:tbl>
      <w:tblPr>
        <w:tblW w:type="auto" w:w="0"/>
        <w:jc w:val="left"/>
        <w:tblLook w:firstColumn="1" w:firstRow="1" w:lastColumn="0" w:lastRow="0" w:noHBand="0" w:noVBand="1" w:val="04A0"/>
        <w:tblBorders>
          <w:top w:val="single" w:sz="4" w:space="0" w:color="FCD34D"/>
          <w:left w:val="single" w:sz="4" w:space="0" w:color="FCD34D"/>
          <w:bottom w:val="single" w:sz="4" w:space="0" w:color="FCD34D"/>
          <w:right w:val="single" w:sz="4" w:space="0" w:color="FCD34D"/>
          <w:insideH w:val="single" w:sz="4" w:space="0" w:color="FCD34D"/>
          <w:insideV w:val="single" w:sz="4" w:space="0" w:color="FCD34D"/>
        </w:tblBorders>
      </w:tblPr>
      <w:tblGrid>
        <w:gridCol w:w="9406"/>
      </w:tblGrid>
      <w:tr>
        <w:tc>
          <w:tcPr>
            <w:tcW w:type="dxa" w:w="9406"/>
            <w:shd w:val="clear" w:color="auto" w:fill="FFFBEB"/>
          </w:tcPr>
          <w:p>
            <w:pPr>
              <w:jc w:val="left"/>
              <w:spacing w:before="0" w:after="0"/>
              <w:spacing w:before="60" w:after="60"/>
            </w:pPr>
            <w:r>
              <w:rPr>
                <w:b w:val="0"/>
                <w:i w:val="0"/>
                <w:color w:val="78350F"/>
                <w:sz w:val="19"/>
              </w:rPr>
              <w:t>Note: All timelines are estimates. Final schedule will be confirmed in the project contract based on selected modules, client resource availability, and data migration complexity.</w:t>
            </w:r>
          </w:p>
        </w:tc>
      </w:tr>
    </w:tbl>
    <w:p/>
    <w:p>
      <w:pPr>
        <w:spacing w:before="160" w:after="60"/>
        <w:pBdr>
          <w:bottom w:val="single" w:sz="6" w:space="1" w:color="1E3A5F"/>
        </w:pBdr>
      </w:pPr>
      <w:r>
        <w:rPr>
          <w:b/>
          <w:color w:val="FFFFFF"/>
          <w:sz w:val="22"/>
          <w:shd w:val="clear" w:color="auto" w:fill="1E3A5F"/>
        </w:rPr>
        <w:t xml:space="preserve">  6  </w:t>
      </w:r>
      <w:r>
        <w:rPr>
          <w:b/>
          <w:color w:val="1E3A5F"/>
          <w:sz w:val="28"/>
        </w:rPr>
        <w:t xml:space="preserve">   Technical Specifications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703"/>
        <w:gridCol w:w="4703"/>
      </w:tblGrid>
      <w:tr>
        <w:tc>
          <w:tcPr>
            <w:tcW w:type="dxa" w:w="2835"/>
            <w:shd w:val="clear" w:color="auto" w:fill="F0F4F8"/>
          </w:tcPr>
          <w:p>
            <w:pPr>
              <w:jc w:val="left"/>
              <w:spacing w:before="0" w:after="0"/>
              <w:spacing w:before="40" w:after="40"/>
            </w:pPr>
            <w:r>
              <w:rPr>
                <w:b/>
                <w:i w:val="0"/>
                <w:color w:val="1E3A5F"/>
                <w:sz w:val="19"/>
              </w:rPr>
              <w:t>Specification</w:t>
            </w:r>
          </w:p>
        </w:tc>
        <w:tc>
          <w:tcPr>
            <w:tcW w:type="dxa" w:w="6520"/>
            <w:shd w:val="clear" w:color="auto" w:fill="F0F4F8"/>
          </w:tcPr>
          <w:p>
            <w:pPr>
              <w:jc w:val="left"/>
              <w:spacing w:before="0" w:after="0"/>
              <w:spacing w:before="40" w:after="40"/>
            </w:pPr>
            <w:r>
              <w:rPr>
                <w:b/>
                <w:i w:val="0"/>
                <w:color w:val="1E3A5F"/>
                <w:sz w:val="19"/>
              </w:rPr>
              <w:t>Details</w:t>
            </w:r>
          </w:p>
        </w:tc>
      </w:tr>
      <w:tr>
        <w:tc>
          <w:tcPr>
            <w:tcW w:type="dxa" w:w="2835"/>
          </w:tcPr>
          <w:p>
            <w:pPr>
              <w:jc w:val="left"/>
              <w:spacing w:before="0" w:after="0"/>
              <w:spacing w:before="40" w:after="40"/>
            </w:pPr>
            <w:r>
              <w:rPr>
                <w:b/>
                <w:i w:val="0"/>
                <w:color w:val="374151"/>
                <w:sz w:val="19"/>
              </w:rPr>
              <w:t>Platform</w:t>
            </w:r>
          </w:p>
        </w:tc>
        <w:tc>
          <w:tcPr>
            <w:tcW w:type="dxa" w:w="6520"/>
          </w:tcPr>
          <w:p>
            <w:pPr>
              <w:jc w:val="left"/>
              <w:spacing w:before="0" w:after="0"/>
              <w:spacing w:before="40" w:after="40"/>
            </w:pPr>
            <w:r>
              <w:rPr>
                <w:b w:val="0"/>
                <w:i w:val="0"/>
                <w:color w:val="374151"/>
                <w:sz w:val="19"/>
              </w:rPr>
              <w:t>Web-based application — no software installation required on user devices</w:t>
            </w:r>
          </w:p>
        </w:tc>
      </w:tr>
      <w:tr>
        <w:tc>
          <w:tcPr>
            <w:tcW w:type="dxa" w:w="2835"/>
            <w:shd w:val="clear" w:color="auto" w:fill="F3F4F6"/>
          </w:tcPr>
          <w:p>
            <w:pPr>
              <w:jc w:val="left"/>
              <w:spacing w:before="0" w:after="0"/>
              <w:spacing w:before="40" w:after="40"/>
            </w:pPr>
            <w:r>
              <w:rPr>
                <w:b/>
                <w:i w:val="0"/>
                <w:color w:val="374151"/>
                <w:sz w:val="19"/>
              </w:rPr>
              <w:t>Device Access</w:t>
            </w:r>
          </w:p>
        </w:tc>
        <w:tc>
          <w:tcPr>
            <w:tcW w:type="dxa" w:w="6520"/>
            <w:shd w:val="clear" w:color="auto" w:fill="F3F4F6"/>
          </w:tcPr>
          <w:p>
            <w:pPr>
              <w:jc w:val="left"/>
              <w:spacing w:before="0" w:after="0"/>
              <w:spacing w:before="40" w:after="40"/>
            </w:pPr>
            <w:r>
              <w:rPr>
                <w:b w:val="0"/>
                <w:i w:val="0"/>
                <w:color w:val="374151"/>
                <w:sz w:val="19"/>
              </w:rPr>
              <w:t>Desktop computer, laptop, tablet, and mobile phone (fully responsive interface)</w:t>
            </w:r>
          </w:p>
        </w:tc>
      </w:tr>
      <w:tr>
        <w:tc>
          <w:tcPr>
            <w:tcW w:type="dxa" w:w="2835"/>
          </w:tcPr>
          <w:p>
            <w:pPr>
              <w:jc w:val="left"/>
              <w:spacing w:before="0" w:after="0"/>
              <w:spacing w:before="40" w:after="40"/>
            </w:pPr>
            <w:r>
              <w:rPr>
                <w:b/>
                <w:i w:val="0"/>
                <w:color w:val="374151"/>
                <w:sz w:val="19"/>
              </w:rPr>
              <w:t>Hosting Options</w:t>
            </w:r>
          </w:p>
        </w:tc>
        <w:tc>
          <w:tcPr>
            <w:tcW w:type="dxa" w:w="6520"/>
          </w:tcPr>
          <w:p>
            <w:pPr>
              <w:jc w:val="left"/>
              <w:spacing w:before="0" w:after="0"/>
              <w:spacing w:before="40" w:after="40"/>
            </w:pPr>
            <w:r>
              <w:rPr>
                <w:b w:val="0"/>
                <w:i w:val="0"/>
                <w:color w:val="374151"/>
                <w:sz w:val="19"/>
              </w:rPr>
              <w:t>Cloud-hosted (managed server) or on-premise installation — client's choice</w:t>
            </w:r>
          </w:p>
        </w:tc>
      </w:tr>
      <w:tr>
        <w:tc>
          <w:tcPr>
            <w:tcW w:type="dxa" w:w="2835"/>
            <w:shd w:val="clear" w:color="auto" w:fill="F3F4F6"/>
          </w:tcPr>
          <w:p>
            <w:pPr>
              <w:jc w:val="left"/>
              <w:spacing w:before="0" w:after="0"/>
              <w:spacing w:before="40" w:after="40"/>
            </w:pPr>
            <w:r>
              <w:rPr>
                <w:b/>
                <w:i w:val="0"/>
                <w:color w:val="374151"/>
                <w:sz w:val="19"/>
              </w:rPr>
              <w:t>Database</w:t>
            </w:r>
          </w:p>
        </w:tc>
        <w:tc>
          <w:tcPr>
            <w:tcW w:type="dxa" w:w="6520"/>
            <w:shd w:val="clear" w:color="auto" w:fill="F3F4F6"/>
          </w:tcPr>
          <w:p>
            <w:pPr>
              <w:jc w:val="left"/>
              <w:spacing w:before="0" w:after="0"/>
              <w:spacing w:before="40" w:after="40"/>
            </w:pPr>
            <w:r>
              <w:rPr>
                <w:b w:val="0"/>
                <w:i w:val="0"/>
                <w:color w:val="374151"/>
                <w:sz w:val="19"/>
              </w:rPr>
              <w:t>SQLite for standard SME scale · PostgreSQL available for high-volume or enterprise needs</w:t>
            </w:r>
          </w:p>
        </w:tc>
      </w:tr>
      <w:tr>
        <w:tc>
          <w:tcPr>
            <w:tcW w:type="dxa" w:w="2835"/>
          </w:tcPr>
          <w:p>
            <w:pPr>
              <w:jc w:val="left"/>
              <w:spacing w:before="0" w:after="0"/>
              <w:spacing w:before="40" w:after="40"/>
            </w:pPr>
            <w:r>
              <w:rPr>
                <w:b/>
                <w:i w:val="0"/>
                <w:color w:val="374151"/>
                <w:sz w:val="19"/>
              </w:rPr>
              <w:t>Security</w:t>
            </w:r>
          </w:p>
        </w:tc>
        <w:tc>
          <w:tcPr>
            <w:tcW w:type="dxa" w:w="6520"/>
          </w:tcPr>
          <w:p>
            <w:pPr>
              <w:jc w:val="left"/>
              <w:spacing w:before="0" w:after="0"/>
              <w:spacing w:before="40" w:after="40"/>
            </w:pPr>
            <w:r>
              <w:rPr>
                <w:b w:val="0"/>
                <w:i w:val="0"/>
                <w:color w:val="374151"/>
                <w:sz w:val="19"/>
              </w:rPr>
              <w:t>HTTPS encryption, CSRF protection, role-based access control, account lockout, full audit trail</w:t>
            </w:r>
          </w:p>
        </w:tc>
      </w:tr>
      <w:tr>
        <w:tc>
          <w:tcPr>
            <w:tcW w:type="dxa" w:w="2835"/>
            <w:shd w:val="clear" w:color="auto" w:fill="F3F4F6"/>
          </w:tcPr>
          <w:p>
            <w:pPr>
              <w:jc w:val="left"/>
              <w:spacing w:before="0" w:after="0"/>
              <w:spacing w:before="40" w:after="40"/>
            </w:pPr>
            <w:r>
              <w:rPr>
                <w:b/>
                <w:i w:val="0"/>
                <w:color w:val="374151"/>
                <w:sz w:val="19"/>
              </w:rPr>
              <w:t>BIR Compliance</w:t>
            </w:r>
          </w:p>
        </w:tc>
        <w:tc>
          <w:tcPr>
            <w:tcW w:type="dxa" w:w="6520"/>
            <w:shd w:val="clear" w:color="auto" w:fill="F3F4F6"/>
          </w:tcPr>
          <w:p>
            <w:pPr>
              <w:jc w:val="left"/>
              <w:spacing w:before="0" w:after="0"/>
              <w:spacing w:before="40" w:after="40"/>
            </w:pPr>
            <w:r>
              <w:rPr>
                <w:b w:val="0"/>
                <w:i w:val="0"/>
                <w:color w:val="374151"/>
                <w:sz w:val="19"/>
              </w:rPr>
              <w:t>CAS-compliant design, TRAIN Act income tax tables, BIR-format reports and data files for eBIRForms / EFPS</w:t>
            </w:r>
          </w:p>
        </w:tc>
      </w:tr>
      <w:tr>
        <w:tc>
          <w:tcPr>
            <w:tcW w:type="dxa" w:w="2835"/>
          </w:tcPr>
          <w:p>
            <w:pPr>
              <w:jc w:val="left"/>
              <w:spacing w:before="0" w:after="0"/>
              <w:spacing w:before="40" w:after="40"/>
            </w:pPr>
            <w:r>
              <w:rPr>
                <w:b/>
                <w:i w:val="0"/>
                <w:color w:val="374151"/>
                <w:sz w:val="19"/>
              </w:rPr>
              <w:t>Philippine Labor</w:t>
            </w:r>
          </w:p>
        </w:tc>
        <w:tc>
          <w:tcPr>
            <w:tcW w:type="dxa" w:w="6520"/>
          </w:tcPr>
          <w:p>
            <w:pPr>
              <w:jc w:val="left"/>
              <w:spacing w:before="0" w:after="0"/>
              <w:spacing w:before="40" w:after="40"/>
            </w:pPr>
            <w:r>
              <w:rPr>
                <w:b w:val="0"/>
                <w:i w:val="0"/>
                <w:color w:val="374151"/>
                <w:sz w:val="19"/>
              </w:rPr>
              <w:t>DOLE-aligned leave types, SSS / PhilHealth / Pag-IBIG contribution tables updated per current regulations</w:t>
            </w:r>
          </w:p>
        </w:tc>
      </w:tr>
      <w:tr>
        <w:tc>
          <w:tcPr>
            <w:tcW w:type="dxa" w:w="2835"/>
            <w:shd w:val="clear" w:color="auto" w:fill="F3F4F6"/>
          </w:tcPr>
          <w:p>
            <w:pPr>
              <w:jc w:val="left"/>
              <w:spacing w:before="0" w:after="0"/>
              <w:spacing w:before="40" w:after="40"/>
            </w:pPr>
            <w:r>
              <w:rPr>
                <w:b/>
                <w:i w:val="0"/>
                <w:color w:val="374151"/>
                <w:sz w:val="19"/>
              </w:rPr>
              <w:t>Data Backup</w:t>
            </w:r>
          </w:p>
        </w:tc>
        <w:tc>
          <w:tcPr>
            <w:tcW w:type="dxa" w:w="6520"/>
            <w:shd w:val="clear" w:color="auto" w:fill="F3F4F6"/>
          </w:tcPr>
          <w:p>
            <w:pPr>
              <w:jc w:val="left"/>
              <w:spacing w:before="0" w:after="0"/>
              <w:spacing w:before="40" w:after="40"/>
            </w:pPr>
            <w:r>
              <w:rPr>
                <w:b w:val="0"/>
                <w:i w:val="0"/>
                <w:color w:val="374151"/>
                <w:sz w:val="19"/>
              </w:rPr>
              <w:t>Automated daily backups; backup file downloadable by the system administrator at any time</w:t>
            </w:r>
          </w:p>
        </w:tc>
      </w:tr>
      <w:tr>
        <w:tc>
          <w:tcPr>
            <w:tcW w:type="dxa" w:w="2835"/>
          </w:tcPr>
          <w:p>
            <w:pPr>
              <w:jc w:val="left"/>
              <w:spacing w:before="0" w:after="0"/>
              <w:spacing w:before="40" w:after="40"/>
            </w:pPr>
            <w:r>
              <w:rPr>
                <w:b/>
                <w:i w:val="0"/>
                <w:color w:val="374151"/>
                <w:sz w:val="19"/>
              </w:rPr>
              <w:t>Browser Support</w:t>
            </w:r>
          </w:p>
        </w:tc>
        <w:tc>
          <w:tcPr>
            <w:tcW w:type="dxa" w:w="6520"/>
          </w:tcPr>
          <w:p>
            <w:pPr>
              <w:jc w:val="left"/>
              <w:spacing w:before="0" w:after="0"/>
              <w:spacing w:before="40" w:after="40"/>
            </w:pPr>
            <w:r>
              <w:rPr>
                <w:b w:val="0"/>
                <w:i w:val="0"/>
                <w:color w:val="374151"/>
                <w:sz w:val="19"/>
              </w:rPr>
              <w:t>Google Chrome, Microsoft Edge, Mozilla Firefox, Apple Safari (latest versions)</w:t>
            </w:r>
          </w:p>
        </w:tc>
      </w:tr>
      <w:tr>
        <w:tc>
          <w:tcPr>
            <w:tcW w:type="dxa" w:w="2835"/>
            <w:shd w:val="clear" w:color="auto" w:fill="F3F4F6"/>
          </w:tcPr>
          <w:p>
            <w:pPr>
              <w:jc w:val="left"/>
              <w:spacing w:before="0" w:after="0"/>
              <w:spacing w:before="40" w:after="40"/>
            </w:pPr>
            <w:r>
              <w:rPr>
                <w:b/>
                <w:i w:val="0"/>
                <w:color w:val="374151"/>
                <w:sz w:val="19"/>
              </w:rPr>
              <w:t>Data Exports</w:t>
            </w:r>
          </w:p>
        </w:tc>
        <w:tc>
          <w:tcPr>
            <w:tcW w:type="dxa" w:w="6520"/>
            <w:shd w:val="clear" w:color="auto" w:fill="F3F4F6"/>
          </w:tcPr>
          <w:p>
            <w:pPr>
              <w:jc w:val="left"/>
              <w:spacing w:before="0" w:after="0"/>
              <w:spacing w:before="40" w:after="40"/>
            </w:pPr>
            <w:r>
              <w:rPr>
                <w:b w:val="0"/>
                <w:i w:val="0"/>
                <w:color w:val="374151"/>
                <w:sz w:val="19"/>
              </w:rPr>
              <w:t>All reports exportable to Microsoft Excel (.xlsx) and CSV; select documents generate PDF</w:t>
            </w:r>
          </w:p>
        </w:tc>
      </w:tr>
    </w:tbl>
    <w:p/>
    <w:p>
      <w:pPr>
        <w:spacing w:before="160" w:after="60"/>
        <w:pBdr>
          <w:bottom w:val="single" w:sz="6" w:space="1" w:color="1E3A5F"/>
        </w:pBdr>
      </w:pPr>
      <w:r>
        <w:rPr>
          <w:b/>
          <w:color w:val="FFFFFF"/>
          <w:sz w:val="22"/>
          <w:shd w:val="clear" w:color="auto" w:fill="1E3A5F"/>
        </w:rPr>
        <w:t xml:space="preserve">  7  </w:t>
      </w:r>
      <w:r>
        <w:rPr>
          <w:b/>
          <w:color w:val="1E3A5F"/>
          <w:sz w:val="28"/>
        </w:rPr>
        <w:t xml:space="preserve">   Terms &amp; Conditions</w:t>
      </w:r>
    </w:p>
    <w:p>
      <w:pPr>
        <w:spacing w:before="40" w:after="40"/>
      </w:pPr>
      <w:r>
        <w:rPr>
          <w:b/>
          <w:color w:val="1E3A5F"/>
          <w:sz w:val="20"/>
        </w:rPr>
        <w:t xml:space="preserve">1.  Scope: </w:t>
      </w:r>
      <w:r>
        <w:rPr>
          <w:color w:val="374151"/>
          <w:sz w:val="20"/>
        </w:rPr>
        <w:t>The scope of this engagement is limited to the modules checked in Section 3. Any module or feature not checked at signing requires a separate change order, which may adjust the price and timeline.</w:t>
      </w:r>
    </w:p>
    <w:p>
      <w:pPr>
        <w:spacing w:before="40" w:after="40"/>
      </w:pPr>
      <w:r>
        <w:rPr>
          <w:b/>
          <w:color w:val="1E3A5F"/>
          <w:sz w:val="20"/>
        </w:rPr>
        <w:t xml:space="preserve">2.  Project Coordinator: </w:t>
      </w:r>
      <w:r>
        <w:rPr>
          <w:color w:val="374151"/>
          <w:sz w:val="20"/>
        </w:rPr>
        <w:t>The client will designate a project coordinator who will be available for requirements clarification, review of deliverables, UAT participation, and sign-off at each phase milestone.</w:t>
      </w:r>
    </w:p>
    <w:p>
      <w:pPr>
        <w:spacing w:before="40" w:after="40"/>
      </w:pPr>
      <w:r>
        <w:rPr>
          <w:b/>
          <w:color w:val="1E3A5F"/>
          <w:sz w:val="20"/>
        </w:rPr>
        <w:t xml:space="preserve">3.  Training: </w:t>
      </w:r>
      <w:r>
        <w:rPr>
          <w:color w:val="374151"/>
          <w:sz w:val="20"/>
        </w:rPr>
        <w:t>Training will be provided for up to ______ user accounts. Additional training sessions beyond those included are available at a separate rate.</w:t>
      </w:r>
    </w:p>
    <w:p>
      <w:pPr>
        <w:spacing w:before="40" w:after="40"/>
      </w:pPr>
      <w:r>
        <w:rPr>
          <w:b/>
          <w:color w:val="1E3A5F"/>
          <w:sz w:val="20"/>
        </w:rPr>
        <w:t xml:space="preserve">4.  Data Migration: </w:t>
      </w:r>
      <w:r>
        <w:rPr>
          <w:color w:val="374151"/>
          <w:sz w:val="20"/>
        </w:rPr>
        <w:t>Data migration from existing systems (spreadsheets, other software) is included for the agreed data scope. Data preparation, cleaning, and verification before migration is the responsibility of the client.</w:t>
      </w:r>
    </w:p>
    <w:p>
      <w:pPr>
        <w:spacing w:before="40" w:after="40"/>
      </w:pPr>
      <w:r>
        <w:rPr>
          <w:b/>
          <w:color w:val="1E3A5F"/>
          <w:sz w:val="20"/>
        </w:rPr>
        <w:t xml:space="preserve">5.  Support &amp; Maintenance: </w:t>
      </w:r>
      <w:r>
        <w:rPr>
          <w:color w:val="374151"/>
          <w:sz w:val="20"/>
        </w:rPr>
        <w:t>Annual support and maintenance covers bug fixes and minor UI enhancements. Development of new modules or significant new features is scoped and billed separately.</w:t>
      </w:r>
    </w:p>
    <w:p>
      <w:pPr>
        <w:spacing w:before="40" w:after="40"/>
      </w:pPr>
      <w:r>
        <w:rPr>
          <w:b/>
          <w:color w:val="1E3A5F"/>
          <w:sz w:val="20"/>
        </w:rPr>
        <w:t xml:space="preserve">6.  Intellectual Property: </w:t>
      </w:r>
      <w:r>
        <w:rPr>
          <w:color w:val="374151"/>
          <w:sz w:val="20"/>
        </w:rPr>
        <w:t>The developer retains ownership of the underlying platform and source code. The client receives a perpetual, non-transferable license to operate the deployed system for their own business use.</w:t>
      </w:r>
    </w:p>
    <w:p>
      <w:pPr>
        <w:spacing w:before="40" w:after="40"/>
      </w:pPr>
      <w:r>
        <w:rPr>
          <w:b/>
          <w:color w:val="1E3A5F"/>
          <w:sz w:val="20"/>
        </w:rPr>
        <w:t xml:space="preserve">7.  Proposal Validity: </w:t>
      </w:r>
      <w:r>
        <w:rPr>
          <w:color w:val="374151"/>
          <w:sz w:val="20"/>
        </w:rPr>
        <w:t>This proposal is valid for 30 days from the proposal date above. Pricing and timelines are subject to revision after this period.</w:t>
      </w:r>
    </w:p>
    <w:p>
      <w:pPr>
        <w:spacing w:before="40" w:after="40"/>
      </w:pPr>
      <w:r>
        <w:rPr>
          <w:b/>
          <w:color w:val="1E3A5F"/>
          <w:sz w:val="20"/>
        </w:rPr>
        <w:t xml:space="preserve">8.  Governing Law: </w:t>
      </w:r>
      <w:r>
        <w:rPr>
          <w:color w:val="374151"/>
          <w:sz w:val="20"/>
        </w:rPr>
        <w:t>Philippine law governs this agreement. Any disputes shall first be resolved through good-faith negotiation, then mediation, before any formal proceedings.</w:t>
      </w:r>
    </w:p>
    <w:p>
      <w:pPr>
        <w:spacing w:before="160" w:after="60"/>
        <w:pBdr>
          <w:bottom w:val="single" w:sz="6" w:space="1" w:color="1E3A5F"/>
        </w:pBdr>
      </w:pPr>
      <w:r>
        <w:rPr>
          <w:b/>
          <w:color w:val="FFFFFF"/>
          <w:sz w:val="22"/>
          <w:shd w:val="clear" w:color="auto" w:fill="1E3A5F"/>
        </w:rPr>
        <w:t xml:space="preserve">  8  </w:t>
      </w:r>
      <w:r>
        <w:rPr>
          <w:b/>
          <w:color w:val="1E3A5F"/>
          <w:sz w:val="28"/>
        </w:rPr>
        <w:t xml:space="preserve">   Acceptance &amp; Authorization</w:t>
      </w:r>
    </w:p>
    <w:tbl>
      <w:tblPr>
        <w:tblW w:type="auto" w:w="0"/>
        <w:jc w:val="left"/>
        <w:tblLook w:firstColumn="1" w:firstRow="1" w:lastColumn="0" w:lastRow="0" w:noHBand="0" w:noVBand="1" w:val="04A0"/>
        <w:tblBorders>
          <w:top w:val="single" w:sz="4" w:space="0" w:color="F0F4F8"/>
          <w:left w:val="single" w:sz="4" w:space="0" w:color="F0F4F8"/>
          <w:bottom w:val="single" w:sz="4" w:space="0" w:color="F0F4F8"/>
          <w:right w:val="single" w:sz="4" w:space="0" w:color="F0F4F8"/>
          <w:insideH w:val="single" w:sz="4" w:space="0" w:color="F0F4F8"/>
          <w:insideV w:val="single" w:sz="4" w:space="0" w:color="F0F4F8"/>
        </w:tblBorders>
      </w:tblPr>
      <w:tblGrid>
        <w:gridCol w:w="4703"/>
        <w:gridCol w:w="4703"/>
      </w:tblGrid>
      <w:tr>
        <w:tc>
          <w:tcPr>
            <w:tcW w:type="dxa" w:w="198"/>
            <w:shd w:val="clear" w:color="auto" w:fill="2563EB"/>
          </w:tcPr>
          <w:p>
            <w:pPr>
              <w:jc w:val="left"/>
              <w:spacing w:before="0" w:after="0"/>
            </w:pPr>
          </w:p>
        </w:tc>
        <w:tc>
          <w:tcPr>
            <w:tcW w:type="dxa" w:w="4703"/>
            <w:shd w:val="clear" w:color="auto" w:fill="F0F4F8"/>
          </w:tcPr>
          <w:p>
            <w:pPr>
              <w:jc w:val="left"/>
              <w:spacing w:before="0" w:after="0"/>
              <w:spacing w:before="60" w:after="60"/>
            </w:pPr>
            <w:r>
              <w:rPr>
                <w:b w:val="0"/>
                <w:i w:val="0"/>
                <w:color w:val="1E3A5F"/>
                <w:sz w:val="20"/>
              </w:rPr>
              <w:t>By signing below, the Client confirms that the modules checked in Section 3 represent the agreed scope of work and authorizes the Developer to proceed on the terms stated in this proposal. Both parties agree that this document, once signed, forms the basis of the project contract.</w:t>
            </w:r>
          </w:p>
        </w:tc>
      </w:tr>
    </w:tbl>
    <w:p/>
    <w:tbl>
      <w:tblPr>
        <w:tblW w:type="auto" w:w="0"/>
        <w:tblLook w:firstColumn="1" w:firstRow="1" w:lastColumn="0" w:lastRow="0" w:noHBand="0" w:noVBand="1" w:val="04A0"/>
        <w:jc w:val="lef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703"/>
        <w:gridCol w:w="4703"/>
      </w:tblGrid>
      <w:tr>
        <w:tc>
          <w:tcPr>
            <w:tcW w:type="dxa" w:w="4535"/>
            <w:vAlign w:val="top"/>
          </w:tcPr>
          <w:p>
            <w:pPr>
              <w:spacing w:before="0" w:after="0"/>
              <w:spacing w:before="0" w:after="60"/>
            </w:pPr>
            <w:r>
              <w:rPr>
                <w:color w:val="6B7280"/>
                <w:sz w:val="16"/>
              </w:rPr>
              <w:t>Client — Authorized Representative</w:t>
            </w:r>
          </w:p>
          <w:p>
            <w:pPr>
              <w:spacing w:before="80" w:after="20"/>
            </w:pPr>
            <w:r>
              <w:rPr>
                <w:b w:val="0"/>
                <w:color w:val="374151"/>
                <w:sz w:val="19"/>
              </w:rPr>
              <w:t>__________________________________________</w:t>
            </w:r>
          </w:p>
          <w:p>
            <w:pPr>
              <w:spacing w:before="40" w:after="40"/>
            </w:pPr>
            <w:r>
              <w:rPr>
                <w:b w:val="0"/>
                <w:color w:val="6B7280"/>
                <w:sz w:val="17"/>
              </w:rPr>
              <w:t>Printed Name &amp; Title</w:t>
            </w:r>
          </w:p>
          <w:p>
            <w:pPr>
              <w:spacing w:before="60" w:after="0"/>
            </w:pPr>
            <w:r>
              <w:rPr>
                <w:b w:val="0"/>
                <w:color w:val="374151"/>
                <w:sz w:val="19"/>
              </w:rPr>
              <w:t xml:space="preserve"> </w:t>
            </w:r>
          </w:p>
          <w:p>
            <w:pPr>
              <w:spacing w:before="60" w:after="20"/>
            </w:pPr>
            <w:r>
              <w:rPr>
                <w:b w:val="0"/>
                <w:color w:val="374151"/>
                <w:sz w:val="19"/>
              </w:rPr>
              <w:t>Signature: ______________________________</w:t>
            </w:r>
          </w:p>
          <w:p>
            <w:pPr>
              <w:spacing w:before="20" w:after="60"/>
            </w:pPr>
            <w:r>
              <w:rPr>
                <w:b w:val="0"/>
                <w:color w:val="374151"/>
                <w:sz w:val="19"/>
              </w:rPr>
              <w:t>Date: __________________________________</w:t>
            </w:r>
          </w:p>
        </w:tc>
        <w:tc>
          <w:tcPr>
            <w:tcW w:type="dxa" w:w="4535"/>
            <w:vAlign w:val="top"/>
          </w:tcPr>
          <w:p>
            <w:pPr>
              <w:spacing w:before="0" w:after="0"/>
              <w:spacing w:before="0" w:after="60"/>
            </w:pPr>
            <w:r>
              <w:rPr>
                <w:color w:val="6B7280"/>
                <w:sz w:val="16"/>
              </w:rPr>
              <w:t>Developer — Authorized Representative</w:t>
            </w:r>
          </w:p>
          <w:p>
            <w:pPr>
              <w:spacing w:before="80" w:after="20"/>
            </w:pPr>
            <w:r>
              <w:rPr>
                <w:b w:val="0"/>
                <w:color w:val="374151"/>
                <w:sz w:val="19"/>
              </w:rPr>
              <w:t>__________________________________________</w:t>
            </w:r>
          </w:p>
          <w:p>
            <w:pPr>
              <w:spacing w:before="40" w:after="40"/>
            </w:pPr>
            <w:r>
              <w:rPr>
                <w:b w:val="0"/>
                <w:color w:val="6B7280"/>
                <w:sz w:val="17"/>
              </w:rPr>
              <w:t>Printed Name &amp; Title</w:t>
            </w:r>
          </w:p>
          <w:p>
            <w:pPr>
              <w:spacing w:before="60" w:after="0"/>
            </w:pPr>
            <w:r>
              <w:rPr>
                <w:b w:val="0"/>
                <w:color w:val="374151"/>
                <w:sz w:val="19"/>
              </w:rPr>
              <w:t xml:space="preserve"> </w:t>
            </w:r>
          </w:p>
          <w:p>
            <w:pPr>
              <w:spacing w:before="60" w:after="20"/>
            </w:pPr>
            <w:r>
              <w:rPr>
                <w:b w:val="0"/>
                <w:color w:val="374151"/>
                <w:sz w:val="19"/>
              </w:rPr>
              <w:t>Signature: ______________________________</w:t>
            </w:r>
          </w:p>
          <w:p>
            <w:pPr>
              <w:spacing w:before="20" w:after="60"/>
            </w:pPr>
            <w:r>
              <w:rPr>
                <w:b w:val="0"/>
                <w:color w:val="374151"/>
                <w:sz w:val="19"/>
              </w:rPr>
              <w:t>Date: __________________________________</w:t>
            </w:r>
          </w:p>
        </w:tc>
      </w:tr>
    </w:tbl>
    <w:p/>
    <w:p>
      <w:pPr>
        <w:jc w:val="center"/>
        <w:spacing w:before="120" w:after="0"/>
        <w:pBdr>
          <w:top w:val="single" w:sz="4" w:space="1" w:color="D1D5DB"/>
        </w:pBdr>
      </w:pPr>
      <w:r>
        <w:rPr>
          <w:color w:val="6B7280"/>
          <w:sz w:val="17"/>
        </w:rPr>
        <w:t>CAS Enterprise Resource Planning System  ·  Software Proposal  ·  June 16, 2026</w:t>
      </w:r>
    </w:p>
    <w:p>
      <w:pPr>
        <w:jc w:val="center"/>
        <w:spacing w:before="0" w:after="0"/>
      </w:pPr>
      <w:r>
        <w:rPr>
          <w:color w:val="6B7280"/>
          <w:sz w:val="16"/>
        </w:rPr>
        <w:t>This document is confidential and intended solely for the named recipient.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