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jc w:val="center"/>
      </w:pPr>
      <w:r>
        <w:drawing>
          <wp:inline xmlns:a="http://schemas.openxmlformats.org/drawingml/2006/main" xmlns:pic="http://schemas.openxmlformats.org/drawingml/2006/picture">
            <wp:extent cx="5943600" cy="4710280"/>
            <wp:docPr id="1" name="Picture 1"/>
            <wp:cNvGraphicFramePr>
              <a:graphicFrameLocks noChangeAspect="1"/>
            </wp:cNvGraphicFramePr>
            <a:graphic>
              <a:graphicData uri="http://schemas.openxmlformats.org/drawingml/2006/picture">
                <pic:pic>
                  <pic:nvPicPr>
                    <pic:cNvPr id="0" name="pipeline_flowchart.png"/>
                    <pic:cNvPicPr/>
                  </pic:nvPicPr>
                  <pic:blipFill>
                    <a:blip r:embed="rId9"/>
                    <a:stretch>
                      <a:fillRect/>
                    </a:stretch>
                  </pic:blipFill>
                  <pic:spPr>
                    <a:xfrm>
                      <a:off x="0" y="0"/>
                      <a:ext cx="5943600" cy="4710280"/>
                    </a:xfrm>
                    <a:prstGeom prst="rect"/>
                  </pic:spPr>
                </pic:pic>
              </a:graphicData>
            </a:graphic>
          </wp:inline>
        </w:drawing>
      </w:r>
    </w:p>
    <w:p>
      <w:pPr>
        <w:spacing w:before="40" w:after="200"/>
        <w:jc w:val="center"/>
      </w:pPr>
      <w:r>
        <w:rPr>
          <w:i/>
          <w:sz w:val="18"/>
        </w:rPr>
        <w:t>Figure: Figure 0. Analysis pipeline overview: from raw HLA typing data to registry size estimates with bootstrap confidence intervals. Shading: blue = input data; green = core model steps; yellow = optimisation; red = uncertainty quantification.</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Equation (4) aggregates across all diplotype classes. For a patient whose diplotype dₖ occurs at population frequency Fₖ, the probability that at least one of N randomly drawn registry donors carries that same diplotype is [1 − (1 − Fₖ)^N] — the complement of all N donors lacking it. Multiplying by Fₖ weights this probability by the fraction of patients who carry diplotype dₖ; summing over all m diplotypes gives the overall population coverage C(N). As N grows, each term approaches Fₖ and C(N) approaches 1, but the convergence is slow for rare diplotypes.</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These intervals quantify sampling variability in haplotype frequencies given the observed donor counts; they do not propagate uncertainty from the EM phasing step or from HWE model assumptions. Total uncertainty across the full estimation pipeline is therefore wider than the reported CIs.</w:t>
      </w:r>
    </w:p>
    <w:p>
      <w:pPr>
        <w:spacing w:after="120" w:before="0"/>
      </w:pPr>
      <w:r>
        <w:rPr>
          <w:sz w:val="20"/>
        </w:rPr>
        <w:t>For clinical planning purposes, the bootstrap median is a conservative and robust target: it is the registry size below which half of all plausible sampling realisations would leave the stated coverage threshold unmet. EM maximum-likelihood estimates are retained in the supplementary data archive for reference;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spacing w:after="120" w:before="0"/>
      </w:pPr>
      <w:r>
        <w:rPr>
          <w:sz w:val="20"/>
        </w:rPr>
        <w:t>Section 3.1 presents the primary finding: same-ethnicity registry size requirements at 10/10 matching. Section 3.2 shows that 8/8 targets are marginally lower. Section 3.3 demonstrates that cross-ethnic matching cannot substitute for same-ethnicity donors. Sections 3.4–3.5 present secondary analyses (partial-match and sensitivity). Section 3.6 reports model validation. Section 3.7 is explicitly exploratory: ancestry stratification of the heterogeneous "Others" subgroup.</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Weighted Average: Singapore population weights (Chinese 77%, Malay 8%, Indian 9%, Others 6%) [11]. This row is a mathematical convenience, not a policy target: it describes how a single shared registry would need to be sized to serve all groups proportionally under those weights, but it cannot substitute for ethnicity-specific recruitment because donors are not interchangeable across groups. The per-group same-ethnicity N* values above are the operative planning targets for each community.</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§3.7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(§3.7)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§3.5),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2" name="Picture 2"/>
            <wp:cNvGraphicFramePr>
              <a:graphicFrameLocks noChangeAspect="1"/>
            </wp:cNvGraphicFramePr>
            <a:graphic>
              <a:graphicData uri="http://schemas.openxmlformats.org/drawingml/2006/picture">
                <pic:pic>
                  <pic:nvPicPr>
                    <pic:cNvPr id="0" name="registry_ci_plot.png"/>
                    <pic:cNvPicPr/>
                  </pic:nvPicPr>
                  <pic:blipFill>
                    <a:blip r:embed="rId10"/>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Weighted Average: Singapore population weights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3" name="Picture 3"/>
            <wp:cNvGraphicFramePr>
              <a:graphicFrameLocks noChangeAspect="1"/>
            </wp:cNvGraphicFramePr>
            <a:graphic>
              <a:graphicData uri="http://schemas.openxmlformats.org/drawingml/2006/picture">
                <pic:pic>
                  <pic:nvPicPr>
                    <pic:cNvPr id="0" name="partial_match_10locus.png"/>
                    <pic:cNvPicPr/>
                  </pic:nvPicPr>
                  <pic:blipFill>
                    <a:blip r:embed="rId11"/>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4" name="Picture 4"/>
            <wp:cNvGraphicFramePr>
              <a:graphicFrameLocks noChangeAspect="1"/>
            </wp:cNvGraphicFramePr>
            <a:graphic>
              <a:graphicData uri="http://schemas.openxmlformats.org/drawingml/2006/picture">
                <pic:pic>
                  <pic:nvPicPr>
                    <pic:cNvPr id="0" name="partial_match_8locus.png"/>
                    <pic:cNvPicPr/>
                  </pic:nvPicPr>
                  <pic:blipFill>
                    <a:blip r:embed="rId12"/>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3.5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HSA Patient-Donor Data (referral composition from Health Sciences Authority Singapore),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HSA Patient-Donor Data</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5" name="Picture 5"/>
            <wp:cNvGraphicFramePr>
              <a:graphicFrameLocks noChangeAspect="1"/>
            </wp:cNvGraphicFramePr>
            <a:graphic>
              <a:graphicData uri="http://schemas.openxmlformats.org/drawingml/2006/picture">
                <pic:pic>
                  <pic:nvPicPr>
                    <pic:cNvPr id="0" name="cross_ethnic_sensitivity.png"/>
                    <pic:cNvPicPr/>
                  </pic:nvPicPr>
                  <pic:blipFill>
                    <a:blip r:embed="rId13"/>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including HSA Patient-Donor Data (Health Sciences Authority Singapore).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3.6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patient-donor pairs provided by the Health Sciences Authority (HSA) Singapore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6" name="Picture 6"/>
            <wp:cNvGraphicFramePr>
              <a:graphicFrameLocks noChangeAspect="1"/>
            </wp:cNvGraphicFramePr>
            <a:graphic>
              <a:graphicData uri="http://schemas.openxmlformats.org/drawingml/2006/picture">
                <pic:pic>
                  <pic:nvPicPr>
                    <pic:cNvPr id="0" name="match_validation_scatter.png"/>
                    <pic:cNvPicPr/>
                  </pic:nvPicPr>
                  <pic:blipFill>
                    <a:blip r:embed="rId14"/>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this is the primary validation result. For Malay (11 shared haplotypes) and Others (4 shared haplotypes), sample sizes are insufficient for reliable rank correlation. For Indian patients only one shared haplotype was observed, precluding any meaningful validation [1]. Registry size estimates for Malay, Indian, and Others should therefore be regarded as model-derived projections; the Chinese estimates are the most robustly validated. These results highlight the need for larger patient cohorts in minority groups.</w:t>
      </w:r>
    </w:p>
    <w:p>
      <w:pPr>
        <w:pStyle w:val="Heading2"/>
        <w:spacing w:before="240" w:after="80"/>
      </w:pPr>
      <w:r>
        <w:t>3.7 Exploratory Analysis — Note on the "Others" Subgroup</w:t>
      </w:r>
    </w:p>
    <w:p>
      <w:pPr>
        <w:spacing w:after="120" w:before="0"/>
      </w:pPr>
      <w:r>
        <w:rPr>
          <w:sz w:val="20"/>
        </w:rPr>
        <w:t>The Others category in Singapore's CMIO classification encompasses Eurasians, Caucasians, and individuals of mixed or diverse Asian ancestry [11]. Unsupervised clustering (k=3, silhouette=0.97) of 3,941 Others donors reveals three genetically distinct sub-groups — European/Eurasian, Filipino/SE Asian, and Northeast Asian/Mixed — with markedly different registry size requirements (Table 4). The pooled Others estimate in Table 1 is a mathematical artefact of heterogeneous population mixing and should not be used as a standalone policy target; the Filipino/SE Asian sub-cluster ceiling of 63,856 donors provides the appropriate conservative planning figure for this group.</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FFCCCC"/>
            <w:vAlign w:val="center"/>
          </w:tcPr>
          <w:p>
            <w:pPr>
              <w:spacing w:before="40" w:after="40"/>
            </w:pPr>
            <w:r>
              <w:rPr>
                <w:sz w:val="18"/>
              </w:rPr>
              <w:t>Cluster 1</w:t>
            </w:r>
          </w:p>
        </w:tc>
        <w:tc>
          <w:tcPr>
            <w:tcW w:type="dxa" w:w="1263"/>
            <w:shd w:val="clear" w:color="auto" w:fill="FFCCCC"/>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CCE0F5"/>
            <w:vAlign w:val="center"/>
          </w:tcPr>
          <w:p>
            <w:pPr>
              <w:spacing w:before="40" w:after="40"/>
            </w:pPr>
            <w:r>
              <w:rPr>
                <w:sz w:val="18"/>
              </w:rPr>
              <w:t>Cluster 2</w:t>
            </w:r>
          </w:p>
        </w:tc>
        <w:tc>
          <w:tcPr>
            <w:tcW w:type="dxa" w:w="1263"/>
            <w:shd w:val="clear" w:color="auto" w:fill="CCE0F5"/>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CBF0CB"/>
            <w:vAlign w:val="center"/>
          </w:tcPr>
          <w:p>
            <w:pPr>
              <w:spacing w:before="40" w:after="40"/>
            </w:pPr>
            <w:r>
              <w:rPr>
                <w:sz w:val="18"/>
              </w:rPr>
              <w:t>Cluster 3</w:t>
            </w:r>
          </w:p>
        </w:tc>
        <w:tc>
          <w:tcPr>
            <w:tcW w:type="dxa" w:w="1263"/>
            <w:shd w:val="clear" w:color="auto" w:fill="CBF0CB"/>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jc w:val="center"/>
      </w:pPr>
      <w:r>
        <w:drawing>
          <wp:inline xmlns:a="http://schemas.openxmlformats.org/drawingml/2006/main" xmlns:pic="http://schemas.openxmlformats.org/drawingml/2006/picture">
            <wp:extent cx="4572000" cy="3017108"/>
            <wp:docPr id="7" name="Picture 7"/>
            <wp:cNvGraphicFramePr>
              <a:graphicFrameLocks noChangeAspect="1"/>
            </wp:cNvGraphicFramePr>
            <a:graphic>
              <a:graphicData uri="http://schemas.openxmlformats.org/drawingml/2006/picture">
                <pic:pic>
                  <pic:nvPicPr>
                    <pic:cNvPr id="0" name="others_pca_scatter.png"/>
                    <pic:cNvPicPr/>
                  </pic:nvPicPr>
                  <pic:blipFill>
                    <a:blip r:embed="rId15"/>
                    <a:stretch>
                      <a:fillRect/>
                    </a:stretch>
                  </pic:blipFill>
                  <pic:spPr>
                    <a:xfrm>
                      <a:off x="0" y="0"/>
                      <a:ext cx="4572000" cy="3017108"/>
                    </a:xfrm>
                    <a:prstGeom prst="rect"/>
                  </pic:spPr>
                </pic:pic>
              </a:graphicData>
            </a:graphic>
          </wp:inline>
        </w:drawing>
      </w:r>
    </w:p>
    <w:p>
      <w:pPr>
        <w:spacing w:before="40" w:after="200"/>
        <w:jc w:val="center"/>
      </w:pPr>
      <w:r>
        <w:rPr>
          <w:i/>
          <w:sz w:val="18"/>
        </w:rPr>
        <w:t>Figure: Figure 1. PCA scatter of 3,941 Others donors (binary HLA allele indicators, alleles ≥1%). Three well-separated clusters (k=3, silhouette=0.97) indicate distinct ancestry backgrounds. Cluster identities inferred from haplotype signature matching [16,17].</w:t>
      </w:r>
    </w:p>
    <w:tbl>
      <w:tblPr>
        <w:tblStyle w:val="TableGrid"/>
        <w:tblW w:type="auto" w:w="0"/>
        <w:tblLayout w:type="fixed"/>
        <w:tblLook w:firstColumn="1" w:firstRow="1" w:lastColumn="0" w:lastRow="0" w:noHBand="0" w:noVBand="1" w:val="04A0"/>
      </w:tblPr>
      <w:tblGrid>
        <w:gridCol w:w="2209"/>
        <w:gridCol w:w="2209"/>
        <w:gridCol w:w="2209"/>
        <w:gridCol w:w="2209"/>
      </w:tblGrid>
      <w:tr>
        <w:tc>
          <w:tcPr>
            <w:tcW w:type="dxa" w:w="1587"/>
            <w:vAlign w:val="center"/>
            <w:shd w:val="clear" w:color="auto" w:fill="1F4E79"/>
          </w:tcPr>
          <w:p>
            <w:pPr>
              <w:spacing w:before="40" w:after="40"/>
            </w:pPr>
            <w:r>
              <w:rPr>
                <w:b/>
                <w:color w:val="FFFFFF"/>
                <w:sz w:val="18"/>
              </w:rPr>
              <w:t>Cluster</w:t>
            </w:r>
          </w:p>
        </w:tc>
        <w:tc>
          <w:tcPr>
            <w:tcW w:type="dxa" w:w="2948"/>
            <w:vAlign w:val="center"/>
            <w:shd w:val="clear" w:color="auto" w:fill="1F4E79"/>
          </w:tcPr>
          <w:p>
            <w:pPr>
              <w:spacing w:before="40" w:after="40"/>
            </w:pPr>
            <w:r>
              <w:rPr>
                <w:b/>
                <w:color w:val="FFFFFF"/>
                <w:sz w:val="18"/>
              </w:rPr>
              <w:t>Top Haplotype (A~B~C~DRB1~DQB1)</w:t>
            </w:r>
          </w:p>
        </w:tc>
        <w:tc>
          <w:tcPr>
            <w:tcW w:type="dxa" w:w="737"/>
            <w:vAlign w:val="center"/>
            <w:shd w:val="clear" w:color="auto" w:fill="1F4E79"/>
          </w:tcPr>
          <w:p>
            <w:pPr>
              <w:spacing w:before="40" w:after="40"/>
            </w:pPr>
            <w:r>
              <w:rPr>
                <w:b/>
                <w:color w:val="FFFFFF"/>
                <w:sz w:val="18"/>
              </w:rPr>
              <w:t>Freq (%)</w:t>
            </w:r>
          </w:p>
        </w:tc>
        <w:tc>
          <w:tcPr>
            <w:tcW w:type="dxa" w:w="4252"/>
            <w:vAlign w:val="center"/>
            <w:shd w:val="clear" w:color="auto" w:fill="1F4E79"/>
          </w:tcPr>
          <w:p>
            <w:pPr>
              <w:spacing w:before="40" w:after="40"/>
            </w:pPr>
            <w:r>
              <w:rPr>
                <w:b/>
                <w:color w:val="FFFFFF"/>
                <w:sz w:val="18"/>
              </w:rPr>
              <w:t>Population association</w:t>
            </w:r>
          </w:p>
        </w:tc>
      </w:tr>
      <w:tr>
        <w:tc>
          <w:tcPr>
            <w:tcW w:type="dxa" w:w="1587"/>
            <w:shd w:val="clear" w:color="auto" w:fill="FFCCCC"/>
            <w:vAlign w:val="center"/>
          </w:tcPr>
          <w:p>
            <w:pPr>
              <w:spacing w:before="40" w:after="40"/>
            </w:pPr>
            <w:r>
              <w:rPr>
                <w:sz w:val="18"/>
              </w:rPr>
              <w:t>Cluster 1</w:t>
            </w:r>
          </w:p>
        </w:tc>
        <w:tc>
          <w:tcPr>
            <w:tcW w:type="dxa" w:w="2948"/>
            <w:vAlign w:val="center"/>
          </w:tcPr>
          <w:p>
            <w:pPr>
              <w:spacing w:before="40" w:after="40"/>
            </w:pPr>
            <w:r>
              <w:rPr>
                <w:sz w:val="18"/>
              </w:rPr>
              <w:t>A*01:01~B*08:01~C*07:01~DRB1*03:01~DQB1*02:01</w:t>
            </w:r>
          </w:p>
        </w:tc>
        <w:tc>
          <w:tcPr>
            <w:tcW w:type="dxa" w:w="737"/>
            <w:vAlign w:val="center"/>
          </w:tcPr>
          <w:p>
            <w:pPr>
              <w:spacing w:before="40" w:after="40"/>
            </w:pPr>
            <w:r>
              <w:rPr>
                <w:sz w:val="18"/>
              </w:rPr>
              <w:t>12.2</w:t>
            </w:r>
          </w:p>
        </w:tc>
        <w:tc>
          <w:tcPr>
            <w:tcW w:type="dxa" w:w="4252"/>
            <w:vAlign w:val="center"/>
          </w:tcPr>
          <w:p>
            <w:pPr>
              <w:spacing w:before="40" w:after="40"/>
            </w:pPr>
            <w:r>
              <w:rPr>
                <w:sz w:val="18"/>
              </w:rPr>
              <w:t>8.1 Ancestral Haplotype — hallmark Northern European [17]</w:t>
            </w:r>
          </w:p>
        </w:tc>
      </w:tr>
      <w:tr>
        <w:tc>
          <w:tcPr>
            <w:tcW w:type="dxa" w:w="1587"/>
            <w:shd w:val="clear" w:color="auto" w:fill="CCE0F5"/>
            <w:vAlign w:val="center"/>
          </w:tcPr>
          <w:p>
            <w:pPr>
              <w:spacing w:before="40" w:after="40"/>
            </w:pPr>
            <w:r>
              <w:rPr>
                <w:sz w:val="18"/>
              </w:rPr>
              <w:t>Cluster 2</w:t>
            </w:r>
          </w:p>
        </w:tc>
        <w:tc>
          <w:tcPr>
            <w:tcW w:type="dxa" w:w="2948"/>
            <w:vAlign w:val="center"/>
          </w:tcPr>
          <w:p>
            <w:pPr>
              <w:spacing w:before="40" w:after="40"/>
            </w:pPr>
            <w:r>
              <w:rPr>
                <w:sz w:val="18"/>
              </w:rPr>
              <w:t>A*24:07~B*35:05~C*04:01~DRB1*12:02~DQB1*03:01</w:t>
            </w:r>
          </w:p>
        </w:tc>
        <w:tc>
          <w:tcPr>
            <w:tcW w:type="dxa" w:w="737"/>
            <w:vAlign w:val="center"/>
          </w:tcPr>
          <w:p>
            <w:pPr>
              <w:spacing w:before="40" w:after="40"/>
            </w:pPr>
            <w:r>
              <w:rPr>
                <w:sz w:val="18"/>
              </w:rPr>
              <w:t>9.1</w:t>
            </w:r>
          </w:p>
        </w:tc>
        <w:tc>
          <w:tcPr>
            <w:tcW w:type="dxa" w:w="4252"/>
            <w:vAlign w:val="center"/>
          </w:tcPr>
          <w:p>
            <w:pPr>
              <w:spacing w:before="40" w:after="40"/>
            </w:pPr>
            <w:r>
              <w:rPr>
                <w:sz w:val="18"/>
              </w:rPr>
              <w:t>Filipino / SE Asian archipelago (B*35:05–DRB1*12:02) [16]</w:t>
            </w:r>
          </w:p>
        </w:tc>
      </w:tr>
      <w:tr>
        <w:tc>
          <w:tcPr>
            <w:tcW w:type="dxa" w:w="1587"/>
            <w:shd w:val="clear" w:color="auto" w:fill="CBF0CB"/>
            <w:vAlign w:val="center"/>
          </w:tcPr>
          <w:p>
            <w:pPr>
              <w:spacing w:before="40" w:after="40"/>
            </w:pPr>
            <w:r>
              <w:rPr>
                <w:sz w:val="18"/>
              </w:rPr>
              <w:t>Cluster 3</w:t>
            </w:r>
          </w:p>
        </w:tc>
        <w:tc>
          <w:tcPr>
            <w:tcW w:type="dxa" w:w="2948"/>
            <w:vAlign w:val="center"/>
          </w:tcPr>
          <w:p>
            <w:pPr>
              <w:spacing w:before="40" w:after="40"/>
            </w:pPr>
            <w:r>
              <w:rPr>
                <w:sz w:val="18"/>
              </w:rPr>
              <w:t>A*02:07~B*46:01~C*01:02~DRB1*09:01~DQB1*03:03</w:t>
            </w:r>
          </w:p>
        </w:tc>
        <w:tc>
          <w:tcPr>
            <w:tcW w:type="dxa" w:w="737"/>
            <w:vAlign w:val="center"/>
          </w:tcPr>
          <w:p>
            <w:pPr>
              <w:spacing w:before="40" w:after="40"/>
            </w:pPr>
            <w:r>
              <w:rPr>
                <w:sz w:val="18"/>
              </w:rPr>
              <w:t>4.7</w:t>
            </w:r>
          </w:p>
        </w:tc>
        <w:tc>
          <w:tcPr>
            <w:tcW w:type="dxa" w:w="4252"/>
            <w:vAlign w:val="center"/>
          </w:tcPr>
          <w:p>
            <w:pPr>
              <w:spacing w:before="40" w:after="40"/>
            </w:pPr>
            <w:r>
              <w:rPr>
                <w:sz w:val="18"/>
              </w:rPr>
              <w:t>Chinese-specific (A*02:07–B*46:01) [1]</w:t>
            </w:r>
          </w:p>
        </w:tc>
      </w:tr>
    </w:tbl>
    <w:p>
      <w:pPr>
        <w:spacing w:before="40" w:after="200"/>
        <w:jc w:val="center"/>
      </w:pPr>
      <w:r>
        <w:rPr>
          <w:i/>
          <w:sz w:val="18"/>
        </w:rPr>
        <w:t>Table: Table 5. Top haplotype per Others sub-cluster confirming putative ancestry. Frequencies are within-cluster. Population assignments cross-referenced against AFND [16] and published references [1,17].</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§3.7).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diplotype frequencies are derived under Hardy–Weinberg equilibrium. HWE departures were detected in Indian and Others groups at several loci [1]. The direction and magnitude of bias are uncertain and depend on the nature of the sub-structure; registry size estimates for Indian and Others should be treated as exploratory, while Chinese and Malay estimates are on firmer ground. Second, the EM algorithm was capped at 5,000 individuals per ethnic group; this cap binds materially only for Chinese (5,000 of 45,754 donors), where haplotype frequencies above the 0.1% inclusion threshold are reliably estimated at this sample size, but the cap may modestly underrepresent the rarest Chinese haplotypes. Third, the reported N* values represent biologically matched donors required by the coverage model; real-world donor attrition (unreachability, refusal, medical deferral — typically 30–50% in established registries) means signed-up recruitment targets must exceed N* by a corresponding factor. Fourth, N* estimates are lower bounds: haplotypes not observed in the donor sample are assigned zero frequency, so rare patient haplotypes outside the observed set are unaccounted for; the effect is most pronounced at the 95% coverage threshold. Fifth, the Others cluster ancestry assignments are inferred from haplotype signatures [16,17] without confirmed self-reported ancestry data, and cluster stability was not independently validated via bootstrap resampling of individuals — the labels and the high silhouette score (0.97) reflect strong HLA–ancestry signal but independent confirmation would strengthen these findings. Sixth, validation of EM frequencies against patient haplotypes was limited by small patient sample sizes in Malay, Indian, and Others groups [1] (see §3.6).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subgroup is ethnically heterogeneous; sub-cluster analysis identifies three distinct ancestry groups with registry requirements ranging from 35,000 to 64,000 donors (Table 4)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data collection for Others donors to support targeted recruitment as registry size grows [16]. Together, these measures can substantially improve HSCT access equity for all communities in Singapore.</w:t>
      </w:r>
    </w:p>
    <w:p>
      <w:pPr>
        <w:pStyle w:val="Heading2"/>
        <w:spacing w:before="240" w:after="80"/>
      </w:pPr>
      <w:r>
        <w:t>Abbreviations</w:t>
      </w:r>
    </w:p>
    <w:tbl>
      <w:tblPr>
        <w:tblStyle w:val="TableGrid"/>
        <w:tblW w:type="auto" w:w="0"/>
        <w:tblLayout w:type="fixed"/>
        <w:tblLook w:firstColumn="1" w:firstRow="1" w:lastColumn="0" w:lastRow="0" w:noHBand="0" w:noVBand="1" w:val="04A0"/>
      </w:tblPr>
      <w:tblGrid>
        <w:gridCol w:w="4419"/>
        <w:gridCol w:w="4419"/>
      </w:tblGrid>
      <w:tr>
        <w:tc>
          <w:tcPr>
            <w:tcW w:type="dxa" w:w="1247"/>
            <w:vAlign w:val="center"/>
            <w:shd w:val="clear" w:color="auto" w:fill="1F4E79"/>
          </w:tcPr>
          <w:p>
            <w:pPr>
              <w:spacing w:before="40" w:after="40"/>
            </w:pPr>
            <w:r>
              <w:rPr>
                <w:b/>
                <w:color w:val="FFFFFF"/>
                <w:sz w:val="18"/>
              </w:rPr>
              <w:t>Abbreviation</w:t>
            </w:r>
          </w:p>
        </w:tc>
        <w:tc>
          <w:tcPr>
            <w:tcW w:type="dxa" w:w="7654"/>
            <w:vAlign w:val="center"/>
            <w:shd w:val="clear" w:color="auto" w:fill="1F4E79"/>
          </w:tcPr>
          <w:p>
            <w:pPr>
              <w:spacing w:before="40" w:after="40"/>
            </w:pPr>
            <w:r>
              <w:rPr>
                <w:b/>
                <w:color w:val="FFFFFF"/>
                <w:sz w:val="18"/>
              </w:rPr>
              <w:t>Definition</w:t>
            </w:r>
          </w:p>
        </w:tc>
      </w:tr>
      <w:tr>
        <w:tc>
          <w:tcPr>
            <w:tcW w:type="dxa" w:w="1247"/>
            <w:vAlign w:val="center"/>
          </w:tcPr>
          <w:p>
            <w:pPr>
              <w:spacing w:before="40" w:after="40"/>
            </w:pPr>
            <w:r>
              <w:rPr>
                <w:sz w:val="18"/>
              </w:rPr>
              <w:t>AFND</w:t>
            </w:r>
          </w:p>
        </w:tc>
        <w:tc>
          <w:tcPr>
            <w:tcW w:type="dxa" w:w="7654"/>
            <w:vAlign w:val="center"/>
          </w:tcPr>
          <w:p>
            <w:pPr>
              <w:spacing w:before="40" w:after="40"/>
            </w:pPr>
            <w:r>
              <w:rPr>
                <w:sz w:val="18"/>
              </w:rPr>
              <w:t>Allele Frequency Net Database</w:t>
            </w:r>
          </w:p>
        </w:tc>
      </w:tr>
      <w:tr>
        <w:tc>
          <w:tcPr>
            <w:tcW w:type="dxa" w:w="1247"/>
            <w:vAlign w:val="center"/>
          </w:tcPr>
          <w:p>
            <w:pPr>
              <w:spacing w:before="40" w:after="40"/>
            </w:pPr>
            <w:r>
              <w:rPr>
                <w:sz w:val="18"/>
              </w:rPr>
              <w:t>BMDP</w:t>
            </w:r>
          </w:p>
        </w:tc>
        <w:tc>
          <w:tcPr>
            <w:tcW w:type="dxa" w:w="7654"/>
            <w:vAlign w:val="center"/>
          </w:tcPr>
          <w:p>
            <w:pPr>
              <w:spacing w:before="40" w:after="40"/>
            </w:pPr>
            <w:r>
              <w:rPr>
                <w:sz w:val="18"/>
              </w:rPr>
              <w:t>Bone Marrow Donor Programme (Singapore)</w:t>
            </w:r>
          </w:p>
        </w:tc>
      </w:tr>
      <w:tr>
        <w:tc>
          <w:tcPr>
            <w:tcW w:type="dxa" w:w="1247"/>
            <w:vAlign w:val="center"/>
          </w:tcPr>
          <w:p>
            <w:pPr>
              <w:spacing w:before="40" w:after="40"/>
            </w:pPr>
            <w:r>
              <w:rPr>
                <w:sz w:val="18"/>
              </w:rPr>
              <w:t>CI</w:t>
            </w:r>
          </w:p>
        </w:tc>
        <w:tc>
          <w:tcPr>
            <w:tcW w:type="dxa" w:w="7654"/>
            <w:vAlign w:val="center"/>
          </w:tcPr>
          <w:p>
            <w:pPr>
              <w:spacing w:before="40" w:after="40"/>
            </w:pPr>
            <w:r>
              <w:rPr>
                <w:sz w:val="18"/>
              </w:rPr>
              <w:t>Confidence Interval</w:t>
            </w:r>
          </w:p>
        </w:tc>
      </w:tr>
      <w:tr>
        <w:tc>
          <w:tcPr>
            <w:tcW w:type="dxa" w:w="1247"/>
            <w:vAlign w:val="center"/>
          </w:tcPr>
          <w:p>
            <w:pPr>
              <w:spacing w:before="40" w:after="40"/>
            </w:pPr>
            <w:r>
              <w:rPr>
                <w:sz w:val="18"/>
              </w:rPr>
              <w:t>CMIO</w:t>
            </w:r>
          </w:p>
        </w:tc>
        <w:tc>
          <w:tcPr>
            <w:tcW w:type="dxa" w:w="7654"/>
            <w:vAlign w:val="center"/>
          </w:tcPr>
          <w:p>
            <w:pPr>
              <w:spacing w:before="40" w:after="40"/>
            </w:pPr>
            <w:r>
              <w:rPr>
                <w:sz w:val="18"/>
              </w:rPr>
              <w:t>Chinese–Malay–Indian–Others (Singapore ethnic classification)</w:t>
            </w:r>
          </w:p>
        </w:tc>
      </w:tr>
      <w:tr>
        <w:tc>
          <w:tcPr>
            <w:tcW w:type="dxa" w:w="1247"/>
            <w:vAlign w:val="center"/>
          </w:tcPr>
          <w:p>
            <w:pPr>
              <w:spacing w:before="40" w:after="40"/>
            </w:pPr>
            <w:r>
              <w:rPr>
                <w:sz w:val="18"/>
              </w:rPr>
              <w:t>EM</w:t>
            </w:r>
          </w:p>
        </w:tc>
        <w:tc>
          <w:tcPr>
            <w:tcW w:type="dxa" w:w="7654"/>
            <w:vAlign w:val="center"/>
          </w:tcPr>
          <w:p>
            <w:pPr>
              <w:spacing w:before="40" w:after="40"/>
            </w:pPr>
            <w:r>
              <w:rPr>
                <w:sz w:val="18"/>
              </w:rPr>
              <w:t>Expectation–Maximisation (algorithm for haplotype phasing)</w:t>
            </w:r>
          </w:p>
        </w:tc>
      </w:tr>
      <w:tr>
        <w:tc>
          <w:tcPr>
            <w:tcW w:type="dxa" w:w="1247"/>
            <w:vAlign w:val="center"/>
          </w:tcPr>
          <w:p>
            <w:pPr>
              <w:spacing w:before="40" w:after="40"/>
            </w:pPr>
            <w:r>
              <w:rPr>
                <w:sz w:val="18"/>
              </w:rPr>
              <w:t>HSCT</w:t>
            </w:r>
          </w:p>
        </w:tc>
        <w:tc>
          <w:tcPr>
            <w:tcW w:type="dxa" w:w="7654"/>
            <w:vAlign w:val="center"/>
          </w:tcPr>
          <w:p>
            <w:pPr>
              <w:spacing w:before="40" w:after="40"/>
            </w:pPr>
            <w:r>
              <w:rPr>
                <w:sz w:val="18"/>
              </w:rPr>
              <w:t>Haematopoietic Stem Cell Transplantation</w:t>
            </w:r>
          </w:p>
        </w:tc>
      </w:tr>
      <w:tr>
        <w:tc>
          <w:tcPr>
            <w:tcW w:type="dxa" w:w="1247"/>
            <w:vAlign w:val="center"/>
          </w:tcPr>
          <w:p>
            <w:pPr>
              <w:spacing w:before="40" w:after="40"/>
            </w:pPr>
            <w:r>
              <w:rPr>
                <w:sz w:val="18"/>
              </w:rPr>
              <w:t>HLA</w:t>
            </w:r>
          </w:p>
        </w:tc>
        <w:tc>
          <w:tcPr>
            <w:tcW w:type="dxa" w:w="7654"/>
            <w:vAlign w:val="center"/>
          </w:tcPr>
          <w:p>
            <w:pPr>
              <w:spacing w:before="40" w:after="40"/>
            </w:pPr>
            <w:r>
              <w:rPr>
                <w:sz w:val="18"/>
              </w:rPr>
              <w:t>Human Leukocyte Antigen</w:t>
            </w:r>
          </w:p>
        </w:tc>
      </w:tr>
      <w:tr>
        <w:tc>
          <w:tcPr>
            <w:tcW w:type="dxa" w:w="1247"/>
            <w:vAlign w:val="center"/>
          </w:tcPr>
          <w:p>
            <w:pPr>
              <w:spacing w:before="40" w:after="40"/>
            </w:pPr>
            <w:r>
              <w:rPr>
                <w:sz w:val="18"/>
              </w:rPr>
              <w:t>HSA</w:t>
            </w:r>
          </w:p>
        </w:tc>
        <w:tc>
          <w:tcPr>
            <w:tcW w:type="dxa" w:w="7654"/>
            <w:vAlign w:val="center"/>
          </w:tcPr>
          <w:p>
            <w:pPr>
              <w:spacing w:before="40" w:after="40"/>
            </w:pPr>
            <w:r>
              <w:rPr>
                <w:sz w:val="18"/>
              </w:rPr>
              <w:t>Health Sciences Authority (Singapore)</w:t>
            </w:r>
          </w:p>
        </w:tc>
      </w:tr>
      <w:tr>
        <w:tc>
          <w:tcPr>
            <w:tcW w:type="dxa" w:w="1247"/>
            <w:vAlign w:val="center"/>
          </w:tcPr>
          <w:p>
            <w:pPr>
              <w:spacing w:before="40" w:after="40"/>
            </w:pPr>
            <w:r>
              <w:rPr>
                <w:sz w:val="18"/>
              </w:rPr>
              <w:t>HWE</w:t>
            </w:r>
          </w:p>
        </w:tc>
        <w:tc>
          <w:tcPr>
            <w:tcW w:type="dxa" w:w="7654"/>
            <w:vAlign w:val="center"/>
          </w:tcPr>
          <w:p>
            <w:pPr>
              <w:spacing w:before="40" w:after="40"/>
            </w:pPr>
            <w:r>
              <w:rPr>
                <w:sz w:val="18"/>
              </w:rPr>
              <w:t>Hardy–Weinberg Equilibrium</w:t>
            </w:r>
          </w:p>
        </w:tc>
      </w:tr>
      <w:tr>
        <w:tc>
          <w:tcPr>
            <w:tcW w:type="dxa" w:w="1247"/>
            <w:vAlign w:val="center"/>
          </w:tcPr>
          <w:p>
            <w:pPr>
              <w:spacing w:before="40" w:after="40"/>
            </w:pPr>
            <w:r>
              <w:rPr>
                <w:sz w:val="18"/>
              </w:rPr>
              <w:t>LD</w:t>
            </w:r>
          </w:p>
        </w:tc>
        <w:tc>
          <w:tcPr>
            <w:tcW w:type="dxa" w:w="7654"/>
            <w:vAlign w:val="center"/>
          </w:tcPr>
          <w:p>
            <w:pPr>
              <w:spacing w:before="40" w:after="40"/>
            </w:pPr>
            <w:r>
              <w:rPr>
                <w:sz w:val="18"/>
              </w:rPr>
              <w:t>Linkage Disequilibrium</w:t>
            </w:r>
          </w:p>
        </w:tc>
      </w:tr>
      <w:tr>
        <w:tc>
          <w:tcPr>
            <w:tcW w:type="dxa" w:w="1247"/>
            <w:vAlign w:val="center"/>
          </w:tcPr>
          <w:p>
            <w:pPr>
              <w:spacing w:before="40" w:after="40"/>
            </w:pPr>
            <w:r>
              <w:rPr>
                <w:sz w:val="18"/>
              </w:rPr>
              <w:t>MLE</w:t>
            </w:r>
          </w:p>
        </w:tc>
        <w:tc>
          <w:tcPr>
            <w:tcW w:type="dxa" w:w="7654"/>
            <w:vAlign w:val="center"/>
          </w:tcPr>
          <w:p>
            <w:pPr>
              <w:spacing w:before="40" w:after="40"/>
            </w:pPr>
            <w:r>
              <w:rPr>
                <w:sz w:val="18"/>
              </w:rPr>
              <w:t>Maximum Likelihood Estimate</w:t>
            </w:r>
          </w:p>
        </w:tc>
      </w:tr>
      <w:tr>
        <w:tc>
          <w:tcPr>
            <w:tcW w:type="dxa" w:w="1247"/>
            <w:vAlign w:val="center"/>
          </w:tcPr>
          <w:p>
            <w:pPr>
              <w:spacing w:before="40" w:after="40"/>
            </w:pPr>
            <w:r>
              <w:rPr>
                <w:sz w:val="18"/>
              </w:rPr>
              <w:t>N*</w:t>
            </w:r>
          </w:p>
        </w:tc>
        <w:tc>
          <w:tcPr>
            <w:tcW w:type="dxa" w:w="7654"/>
            <w:vAlign w:val="center"/>
          </w:tcPr>
          <w:p>
            <w:pPr>
              <w:spacing w:before="40" w:after="40"/>
            </w:pPr>
            <w:r>
              <w:rPr>
                <w:sz w:val="18"/>
              </w:rPr>
              <w:t>Minimum registry size achieving a specified coverage target</w:t>
            </w:r>
          </w:p>
        </w:tc>
      </w:tr>
      <w:tr>
        <w:tc>
          <w:tcPr>
            <w:tcW w:type="dxa" w:w="1247"/>
            <w:vAlign w:val="center"/>
          </w:tcPr>
          <w:p>
            <w:pPr>
              <w:spacing w:before="40" w:after="40"/>
            </w:pPr>
            <w:r>
              <w:rPr>
                <w:sz w:val="18"/>
              </w:rPr>
              <w:t>PCA</w:t>
            </w:r>
          </w:p>
        </w:tc>
        <w:tc>
          <w:tcPr>
            <w:tcW w:type="dxa" w:w="7654"/>
            <w:vAlign w:val="center"/>
          </w:tcPr>
          <w:p>
            <w:pPr>
              <w:spacing w:before="40" w:after="40"/>
            </w:pPr>
            <w:r>
              <w:rPr>
                <w:sz w:val="18"/>
              </w:rPr>
              <w:t>Principal Component Analysis</w:t>
            </w:r>
          </w:p>
        </w:tc>
      </w:tr>
      <w:tr>
        <w:tc>
          <w:tcPr>
            <w:tcW w:type="dxa" w:w="1247"/>
            <w:vAlign w:val="center"/>
          </w:tcPr>
          <w:p>
            <w:pPr>
              <w:spacing w:before="40" w:after="40"/>
            </w:pPr>
            <w:r>
              <w:rPr>
                <w:sz w:val="18"/>
              </w:rPr>
              <w:t>RMSE</w:t>
            </w:r>
          </w:p>
        </w:tc>
        <w:tc>
          <w:tcPr>
            <w:tcW w:type="dxa" w:w="7654"/>
            <w:vAlign w:val="center"/>
          </w:tcPr>
          <w:p>
            <w:pPr>
              <w:spacing w:before="40" w:after="40"/>
            </w:pPr>
            <w:r>
              <w:rPr>
                <w:sz w:val="18"/>
              </w:rPr>
              <w:t>Root Mean Square Error</w:t>
            </w:r>
          </w:p>
        </w:tc>
      </w:tr>
      <w:tr>
        <w:tc>
          <w:tcPr>
            <w:tcW w:type="dxa" w:w="1247"/>
            <w:vAlign w:val="center"/>
          </w:tcPr>
          <w:p>
            <w:pPr>
              <w:spacing w:before="40" w:after="40"/>
            </w:pPr>
            <w:r>
              <w:rPr>
                <w:sz w:val="18"/>
              </w:rPr>
              <w:t>SCBB</w:t>
            </w:r>
          </w:p>
        </w:tc>
        <w:tc>
          <w:tcPr>
            <w:tcW w:type="dxa" w:w="7654"/>
            <w:vAlign w:val="center"/>
          </w:tcPr>
          <w:p>
            <w:pPr>
              <w:spacing w:before="40" w:after="40"/>
            </w:pPr>
            <w:r>
              <w:rPr>
                <w:sz w:val="18"/>
              </w:rPr>
              <w:t>Singapore Cord Blood Bank</w:t>
            </w:r>
          </w:p>
        </w:tc>
      </w:tr>
    </w:tbl>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