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Methods: Diplotype frequencies were derived under Hardy–Weinberg equilibrium from EM-phased five-locus haplotypes using the HLA-net GENE[RATE] pipeline [3].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EM-estimated minimum registry sizes are: Chinese 42,871, Malay 41,779, Indian 44,863. Bootstrap 95% confidence intervals (Dirichlet resampling, 1,000 iterations; see §2.4) are 40,199–42,177, 38,730–40,852, and 42,767–44,754 respectively. The pooled Others estimate of 32,360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 same-ethnicity registry of approximately 40,000–45,000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pStyle w:val="Heading2"/>
        <w:spacing w:before="240" w:after="80"/>
      </w:pPr>
      <w:r>
        <w:t>2.1 Dataset</w:t>
      </w:r>
    </w:p>
    <w:p>
      <w:pPr>
        <w:spacing w:after="120" w:before="0"/>
      </w:pPr>
      <w:r>
        <w:rPr>
          <w:sz w:val="20"/>
        </w:rPr>
        <w:t>HLA typing data were obtained from 59,186 volunteer unrelated donors (VUDs) from the Bone Marrow Donor Programme (BMDP) and cord blood units from the Singapore Cord Blood Bank (SCBB), accrued between 2005 and 2020 [1]. Recipients and donors processed by the Health Sciences Authority (HSA) were included for validation. Donors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A key methodological advance in this analysis is the use of expectation-maximisation (EM)-estimated phased haplotype frequencies, rather than the simpler approach of multiplying individual allele frequencies at each locus. Haplotype frequencies were estimated using the HLA-net GENE[RATE] pipeline [3], which applies an EM algorithm under Hardy–Weinberg equilibrium to infer the most probable phase assignments from unphased diplotype data across all 59,186 individuals.</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after="120" w:before="0"/>
        <w:ind w:left="850"/>
      </w:pPr>
      <w:r>
        <w:rPr>
          <w:sz w:val="20"/>
        </w:rPr>
        <w:t xml:space="preserve">    F(hᵢ, hᵢ) = fᵢ²                              [homozygous, i = j]</w:t>
        <w:br/>
        <w:t xml:space="preserve">    F(hᵢ, hⱼ) = 2·fᵢ·fⱼ,   i ≠ j  [heterozygous]</w:t>
      </w:r>
    </w:p>
    <w:p>
      <w:pPr>
        <w:spacing w:after="120" w:before="0"/>
      </w:pPr>
      <w:r>
        <w:rPr>
          <w:sz w:val="20"/>
        </w:rPr>
        <w:t>The probability that a patient with diplotype dₖ finds at least one matched donor in a registry of N independently drawn donors is:</w:t>
      </w:r>
    </w:p>
    <w:p>
      <w:pPr>
        <w:spacing w:after="120" w:before="0"/>
        <w:ind w:left="850"/>
      </w:pPr>
      <w:r>
        <w:rPr>
          <w:sz w:val="20"/>
        </w:rPr>
        <w:t xml:space="preserve">    P(dₖ, N) = 1 − (1 − Fₖ)^N</w:t>
      </w:r>
    </w:p>
    <w:p>
      <w:pPr>
        <w:spacing w:after="120" w:before="0"/>
      </w:pPr>
      <w:r>
        <w:rPr>
          <w:sz w:val="20"/>
        </w:rPr>
        <w:t>Population coverage C(N) — the expected fraction of all patients who find at least one match — is the diplotype-frequency-weighted sum over all m diplotypes:</w:t>
      </w:r>
    </w:p>
    <w:p>
      <w:pPr>
        <w:spacing w:after="120" w:before="0"/>
        <w:ind w:left="850"/>
      </w:pPr>
      <w:r>
        <w:rPr>
          <w:sz w:val="20"/>
        </w:rPr>
        <w:t xml:space="preserve">    C(N) = Σₖ Fₖ · [1 − (1 − Fₖ)^N]   [k = 1 to m]</w:t>
      </w:r>
    </w:p>
    <w:p>
      <w:pPr>
        <w:spacing w:after="120" w:before="0"/>
      </w:pPr>
      <w:r>
        <w:rPr>
          <w:sz w:val="20"/>
        </w:rPr>
        <w:t>The minimum registry size N* to achieve target coverage θ (75%, 85%, 90%, or 95%) was found by binary search on a logarithmic scale (50 iterations; precision &lt; 1 donor for N ≤ 10⁷) [2,5]. Same-ethnicity and cross-ethnic model variants were compared [2].</w:t>
      </w:r>
    </w:p>
    <w:p>
      <w:pPr>
        <w:pStyle w:val="Heading2"/>
        <w:spacing w:before="240" w:after="80"/>
      </w:pPr>
      <w:r>
        <w:t>2.4 Bootstrap Confidence Intervals</w:t>
      </w:r>
    </w:p>
    <w:p>
      <w:pPr>
        <w:spacing w:after="120" w:before="0"/>
      </w:pPr>
      <w:r>
        <w:rPr>
          <w:sz w:val="20"/>
        </w:rPr>
        <w:t>To quantify uncertainty around N* estimates, we used Dirichlet parametric bootstrapping (1,000 iterations) [18]. In each iteration, haplotype frequencies were resampled from a Dirichlet distribution calibrated to the observed EM frequencies and effective sample size. A new N* was computed for each resample, and the 2.5th and 97.5th percentiles defined the 95% confidence interval. Narrower CIs indicate more stable, reliable estimates.</w:t>
      </w:r>
    </w:p>
    <w:p>
      <w:pPr>
        <w:spacing w:after="120" w:before="0"/>
      </w:pPr>
      <w:r>
        <w:rPr>
          <w:sz w:val="20"/>
        </w:rPr>
        <w:t>Important note on CI interpretation: at high coverage levels (≥95%), the bootstrap distribution of N* becomes left-skewed. This occurs because the coverage function C(N) is concave near saturation — small downward perturbations in haplotype frequency shift N* downward more than equivalent upward perturbations shift it upward. Consequently, the 2.5th–97.5th percentile bounds of the bootstrap distribution may fall entirely below the EM point estimate from the full dataset (e.g., Chinese 10/10 at 95%: EM estimate 42,871; bootstrap CI 40,199–42,177; bootstrap median 41,187). This is expected statistical behaviour and does not indicate a calculation error. The EM point estimate from the full dataset remains the primary projection; the bootstrap CI quantifies the asymmetric sampling uncertainty around it. Tables 1 and 2 report both.</w:t>
      </w:r>
    </w:p>
    <w:p>
      <w:pPr>
        <w:pStyle w:val="Heading2"/>
        <w:spacing w:before="240" w:after="80"/>
      </w:pPr>
      <w:r>
        <w:t>2.5 Partial-Match Analysis</w:t>
      </w:r>
    </w:p>
    <w:p>
      <w:pPr>
        <w:spacing w:after="120" w:before="0"/>
      </w:pPr>
      <w:r>
        <w:rPr>
          <w:sz w:val="20"/>
        </w:rPr>
        <w:t>Partial-match coverage curves were generated for match thresholds of 10/10, 9/10, and 8/10 (5-locus framework) and 8/8, 7/8, 6/8 (4-locus framework) [14,19].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Numbers in parentheses are 95% bootstrap confidence intervals [18]. The Combined row reflects Singapore population weights [11].</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7,581</w:t>
              <w:br/>
              <w:t>(6,892–7,685)</w:t>
            </w:r>
          </w:p>
        </w:tc>
        <w:tc>
          <w:tcPr>
            <w:tcW w:type="dxa" w:w="1768"/>
            <w:vAlign w:val="center"/>
          </w:tcPr>
          <w:p>
            <w:pPr>
              <w:spacing w:before="40" w:after="40"/>
            </w:pPr>
            <w:r>
              <w:rPr>
                <w:sz w:val="18"/>
              </w:rPr>
              <w:t>15,181</w:t>
              <w:br/>
              <w:t>(13,985–15,103)</w:t>
            </w:r>
          </w:p>
        </w:tc>
        <w:tc>
          <w:tcPr>
            <w:tcW w:type="dxa" w:w="1768"/>
            <w:vAlign w:val="center"/>
          </w:tcPr>
          <w:p>
            <w:pPr>
              <w:spacing w:before="40" w:after="40"/>
            </w:pPr>
            <w:r>
              <w:rPr>
                <w:sz w:val="18"/>
              </w:rPr>
              <w:t>23,506</w:t>
              <w:br/>
              <w:t>(21,874–23,216)</w:t>
            </w:r>
          </w:p>
        </w:tc>
        <w:tc>
          <w:tcPr>
            <w:tcW w:type="dxa" w:w="1768"/>
            <w:vAlign w:val="center"/>
          </w:tcPr>
          <w:p>
            <w:pPr>
              <w:spacing w:before="40" w:after="40"/>
            </w:pPr>
            <w:r>
              <w:rPr>
                <w:sz w:val="18"/>
              </w:rPr>
              <w:t>42,871</w:t>
              <w:br/>
              <w:t>(40,199–42,177)</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6,433</w:t>
              <w:br/>
              <w:t>(5,853–6,524)</w:t>
            </w:r>
          </w:p>
        </w:tc>
        <w:tc>
          <w:tcPr>
            <w:tcW w:type="dxa" w:w="1768"/>
            <w:vAlign w:val="center"/>
          </w:tcPr>
          <w:p>
            <w:pPr>
              <w:spacing w:before="40" w:after="40"/>
            </w:pPr>
            <w:r>
              <w:rPr>
                <w:sz w:val="18"/>
              </w:rPr>
              <w:t>13,298</w:t>
              <w:br/>
              <w:t>(12,207–13,265)</w:t>
            </w:r>
          </w:p>
        </w:tc>
        <w:tc>
          <w:tcPr>
            <w:tcW w:type="dxa" w:w="1768"/>
            <w:vAlign w:val="center"/>
          </w:tcPr>
          <w:p>
            <w:pPr>
              <w:spacing w:before="40" w:after="40"/>
            </w:pPr>
            <w:r>
              <w:rPr>
                <w:sz w:val="18"/>
              </w:rPr>
              <w:t>21,546</w:t>
              <w:br/>
              <w:t>(19,833–21,321)</w:t>
            </w:r>
          </w:p>
        </w:tc>
        <w:tc>
          <w:tcPr>
            <w:tcW w:type="dxa" w:w="1768"/>
            <w:vAlign w:val="center"/>
          </w:tcPr>
          <w:p>
            <w:pPr>
              <w:spacing w:before="40" w:after="40"/>
            </w:pPr>
            <w:r>
              <w:rPr>
                <w:sz w:val="18"/>
              </w:rPr>
              <w:t>41,779</w:t>
              <w:br/>
              <w:t>(38,730–40,852)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9,857</w:t>
              <w:br/>
              <w:t>(9,087–9,877)</w:t>
            </w:r>
          </w:p>
        </w:tc>
        <w:tc>
          <w:tcPr>
            <w:tcW w:type="dxa" w:w="1768"/>
            <w:vAlign w:val="center"/>
          </w:tcPr>
          <w:p>
            <w:pPr>
              <w:spacing w:before="40" w:after="40"/>
            </w:pPr>
            <w:r>
              <w:rPr>
                <w:sz w:val="18"/>
              </w:rPr>
              <w:t>18,363</w:t>
              <w:br/>
              <w:t>(17,185–18,181)</w:t>
            </w:r>
          </w:p>
        </w:tc>
        <w:tc>
          <w:tcPr>
            <w:tcW w:type="dxa" w:w="1768"/>
            <w:vAlign w:val="center"/>
          </w:tcPr>
          <w:p>
            <w:pPr>
              <w:spacing w:before="40" w:after="40"/>
            </w:pPr>
            <w:r>
              <w:rPr>
                <w:sz w:val="18"/>
              </w:rPr>
              <w:t>26,906</w:t>
              <w:br/>
              <w:t>(25,419–26,523)</w:t>
            </w:r>
          </w:p>
        </w:tc>
        <w:tc>
          <w:tcPr>
            <w:tcW w:type="dxa" w:w="1768"/>
            <w:vAlign w:val="center"/>
          </w:tcPr>
          <w:p>
            <w:pPr>
              <w:spacing w:before="40" w:after="40"/>
            </w:pPr>
            <w:r>
              <w:rPr>
                <w:sz w:val="18"/>
              </w:rPr>
              <w:t>44,863</w:t>
              <w:br/>
              <w:t>(42,767–44,754)</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7,207</w:t>
              <w:br/>
              <w:t>(6,608–7,206)</w:t>
            </w:r>
          </w:p>
        </w:tc>
        <w:tc>
          <w:tcPr>
            <w:tcW w:type="dxa" w:w="1768"/>
            <w:vAlign w:val="center"/>
          </w:tcPr>
          <w:p>
            <w:pPr>
              <w:spacing w:before="40" w:after="40"/>
            </w:pPr>
            <w:r>
              <w:rPr>
                <w:sz w:val="18"/>
              </w:rPr>
              <w:t>13,119</w:t>
              <w:br/>
              <w:t>(12,175–12,915)</w:t>
            </w:r>
          </w:p>
        </w:tc>
        <w:tc>
          <w:tcPr>
            <w:tcW w:type="dxa" w:w="1768"/>
            <w:vAlign w:val="center"/>
          </w:tcPr>
          <w:p>
            <w:pPr>
              <w:spacing w:before="40" w:after="40"/>
            </w:pPr>
            <w:r>
              <w:rPr>
                <w:sz w:val="18"/>
              </w:rPr>
              <w:t>19,246</w:t>
              <w:br/>
              <w:t>(17,974–18,848)</w:t>
            </w:r>
          </w:p>
        </w:tc>
        <w:tc>
          <w:tcPr>
            <w:tcW w:type="dxa" w:w="1768"/>
            <w:vAlign w:val="center"/>
          </w:tcPr>
          <w:p>
            <w:pPr>
              <w:spacing w:before="40" w:after="40"/>
            </w:pPr>
            <w:r>
              <w:rPr>
                <w:sz w:val="18"/>
              </w:rPr>
              <w:t>32,360</w:t>
              <w:br/>
              <w:t>(30,443–31,957)</w:t>
            </w:r>
          </w:p>
        </w:tc>
      </w:tr>
      <w:tr>
        <w:tc>
          <w:tcPr>
            <w:tcW w:type="dxa" w:w="1768"/>
            <w:shd w:val="clear" w:color="auto" w:fill="E8E8E8"/>
            <w:vAlign w:val="center"/>
          </w:tcPr>
          <w:p>
            <w:pPr>
              <w:spacing w:before="40" w:after="40"/>
            </w:pPr>
            <w:r>
              <w:rPr>
                <w:sz w:val="18"/>
              </w:rPr>
              <w:t>Combined†</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bl>
    <w:p>
      <w:pPr>
        <w:spacing w:after="80" w:before="0"/>
      </w:pPr>
      <w:r>
        <w:rPr>
          <w:sz w:val="16"/>
        </w:rPr>
        <w:t>† Combined: Singapore population weights (Chinese 77%, Malay 8%, Indian 9%, Others 6%) [11].</w:t>
        <w:br/>
        <w:t>Values shown as N (95% CI lower–upper). ‡ Where the EM point estimate exceeds the CI upper bound, this reflects left-skew in the bootstrap distribution near the 95% saturation zone (see §2.4).</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§3.4 for sub-cluster targets.</w:t>
      </w:r>
    </w:p>
    <w:p>
      <w:pPr>
        <w:spacing w:after="120" w:before="0"/>
      </w:pPr>
      <w:r>
        <w:rPr>
          <w:sz w:val="20"/>
        </w:rPr>
        <w:t>At the clinically important 95% coverage threshold, the required same-ethnicity registry sizes are remarkably consistent across Chinese, Malay, and Indian groups: approximately 42,000–45,000 donors are needed. The Indian group requires the most (44,863), reflecting its greater haplotype diversity [1,8]. The pooled Others estimate (32,360) is a mathematical artefact of heterogeneous sub-group mixing and must not be used as a policy target; sub-cluster analysis (§3.4) reveals requirements of 35,193–63,856. The 95% bootstrap CIs span roughly ±2,000–2,500 donors, confirming that EM-derived haplotype frequencies are stable [18]. Note that for Chinese at 95% coverage, the EM point estimate (42,871) exceeds the bootstrap CI upper bound (42,177) due to left-skew in the bootstrap distribution near saturation — this is expected behaviour explained in §2.4, not a reporting error.</w:t>
      </w:r>
    </w:p>
    <w:p>
      <w:pPr>
        <w:spacing w:after="120" w:before="0"/>
      </w:pPr>
      <w:r>
        <w:rPr>
          <w:sz w:val="20"/>
        </w:rPr>
        <w:t>These per-group same-ethnicity N* values (e.g., 42,871 for Chinese) should be distinguished from the population-weighted combined estimates in the sensitivity analysis (Table 6; §3.6),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2317"/>
            <wp:docPr id="1" name="Picture 1"/>
            <wp:cNvGraphicFramePr>
              <a:graphicFrameLocks noChangeAspect="1"/>
            </wp:cNvGraphicFramePr>
            <a:graphic>
              <a:graphicData uri="http://schemas.openxmlformats.org/drawingml/2006/picture">
                <pic:pic>
                  <pic:nvPicPr>
                    <pic:cNvPr id="0" name="registry_ci_plot.png"/>
                    <pic:cNvPicPr/>
                  </pic:nvPicPr>
                  <pic:blipFill>
                    <a:blip r:embed="rId9"/>
                    <a:stretch>
                      <a:fillRect/>
                    </a:stretch>
                  </pic:blipFill>
                  <pic:spPr>
                    <a:xfrm>
                      <a:off x="0" y="0"/>
                      <a:ext cx="5029200" cy="2222317"/>
                    </a:xfrm>
                    <a:prstGeom prst="rect"/>
                  </pic:spPr>
                </pic:pic>
              </a:graphicData>
            </a:graphic>
          </wp:inline>
        </w:drawing>
      </w:r>
    </w:p>
    <w:p>
      <w:pPr>
        <w:spacing w:before="40" w:after="200"/>
        <w:jc w:val="center"/>
      </w:pPr>
      <w:r>
        <w:rPr>
          <w:i/>
          <w:sz w:val="18"/>
        </w:rPr>
        <w:t>Figure: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7,485</w:t>
              <w:br/>
              <w:t>(6,850–7,545)</w:t>
            </w:r>
          </w:p>
        </w:tc>
        <w:tc>
          <w:tcPr>
            <w:tcW w:type="dxa" w:w="1768"/>
            <w:vAlign w:val="center"/>
          </w:tcPr>
          <w:p>
            <w:pPr>
              <w:spacing w:before="40" w:after="40"/>
            </w:pPr>
            <w:r>
              <w:rPr>
                <w:sz w:val="18"/>
              </w:rPr>
              <w:t>14,956</w:t>
              <w:br/>
              <w:t>(13,826–14,865)</w:t>
            </w:r>
          </w:p>
        </w:tc>
        <w:tc>
          <w:tcPr>
            <w:tcW w:type="dxa" w:w="1768"/>
            <w:vAlign w:val="center"/>
          </w:tcPr>
          <w:p>
            <w:pPr>
              <w:spacing w:before="40" w:after="40"/>
            </w:pPr>
            <w:r>
              <w:rPr>
                <w:sz w:val="18"/>
              </w:rPr>
              <w:t>23,132</w:t>
              <w:br/>
              <w:t>(21,536–22,833)</w:t>
            </w:r>
          </w:p>
        </w:tc>
        <w:tc>
          <w:tcPr>
            <w:tcW w:type="dxa" w:w="1768"/>
            <w:vAlign w:val="center"/>
          </w:tcPr>
          <w:p>
            <w:pPr>
              <w:spacing w:before="40" w:after="40"/>
            </w:pPr>
            <w:r>
              <w:rPr>
                <w:sz w:val="18"/>
              </w:rPr>
              <w:t>42,137</w:t>
              <w:br/>
              <w:t>(39,524–41,468)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5,857</w:t>
              <w:br/>
              <w:t>(5,367–5,905)</w:t>
            </w:r>
          </w:p>
        </w:tc>
        <w:tc>
          <w:tcPr>
            <w:tcW w:type="dxa" w:w="1768"/>
            <w:vAlign w:val="center"/>
          </w:tcPr>
          <w:p>
            <w:pPr>
              <w:spacing w:before="40" w:after="40"/>
            </w:pPr>
            <w:r>
              <w:rPr>
                <w:sz w:val="18"/>
              </w:rPr>
              <w:t>12,030</w:t>
              <w:br/>
              <w:t>(11,029–12,027)</w:t>
            </w:r>
          </w:p>
        </w:tc>
        <w:tc>
          <w:tcPr>
            <w:tcW w:type="dxa" w:w="1768"/>
            <w:vAlign w:val="center"/>
          </w:tcPr>
          <w:p>
            <w:pPr>
              <w:spacing w:before="40" w:after="40"/>
            </w:pPr>
            <w:r>
              <w:rPr>
                <w:sz w:val="18"/>
              </w:rPr>
              <w:t>19,418</w:t>
              <w:br/>
              <w:t>(17,869–19,250)</w:t>
            </w:r>
          </w:p>
        </w:tc>
        <w:tc>
          <w:tcPr>
            <w:tcW w:type="dxa" w:w="1768"/>
            <w:vAlign w:val="center"/>
          </w:tcPr>
          <w:p>
            <w:pPr>
              <w:spacing w:before="40" w:after="40"/>
            </w:pPr>
            <w:r>
              <w:rPr>
                <w:sz w:val="18"/>
              </w:rPr>
              <w:t>37,688</w:t>
              <w:br/>
              <w:t>(34,932–36,947)</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9,519</w:t>
              <w:br/>
              <w:t>(8,759–9,501)</w:t>
            </w:r>
          </w:p>
        </w:tc>
        <w:tc>
          <w:tcPr>
            <w:tcW w:type="dxa" w:w="1768"/>
            <w:vAlign w:val="center"/>
          </w:tcPr>
          <w:p>
            <w:pPr>
              <w:spacing w:before="40" w:after="40"/>
            </w:pPr>
            <w:r>
              <w:rPr>
                <w:sz w:val="18"/>
              </w:rPr>
              <w:t>17,777</w:t>
              <w:br/>
              <w:t>(16,593–17,575)</w:t>
            </w:r>
          </w:p>
        </w:tc>
        <w:tc>
          <w:tcPr>
            <w:tcW w:type="dxa" w:w="1768"/>
            <w:vAlign w:val="center"/>
          </w:tcPr>
          <w:p>
            <w:pPr>
              <w:spacing w:before="40" w:after="40"/>
            </w:pPr>
            <w:r>
              <w:rPr>
                <w:sz w:val="18"/>
              </w:rPr>
              <w:t>26,105</w:t>
              <w:br/>
              <w:t>(24,614–25,707)</w:t>
            </w:r>
          </w:p>
        </w:tc>
        <w:tc>
          <w:tcPr>
            <w:tcW w:type="dxa" w:w="1768"/>
            <w:vAlign w:val="center"/>
          </w:tcPr>
          <w:p>
            <w:pPr>
              <w:spacing w:before="40" w:after="40"/>
            </w:pPr>
            <w:r>
              <w:rPr>
                <w:sz w:val="18"/>
              </w:rPr>
              <w:t>43,684</w:t>
              <w:br/>
              <w:t>(41,636–43,278)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6,763</w:t>
              <w:br/>
              <w:t>(6,200–6,754)</w:t>
            </w:r>
          </w:p>
        </w:tc>
        <w:tc>
          <w:tcPr>
            <w:tcW w:type="dxa" w:w="1768"/>
            <w:vAlign w:val="center"/>
          </w:tcPr>
          <w:p>
            <w:pPr>
              <w:spacing w:before="40" w:after="40"/>
            </w:pPr>
            <w:r>
              <w:rPr>
                <w:sz w:val="18"/>
              </w:rPr>
              <w:t>12,505</w:t>
              <w:br/>
              <w:t>(11,551–12,342)</w:t>
            </w:r>
          </w:p>
        </w:tc>
        <w:tc>
          <w:tcPr>
            <w:tcW w:type="dxa" w:w="1768"/>
            <w:vAlign w:val="center"/>
          </w:tcPr>
          <w:p>
            <w:pPr>
              <w:spacing w:before="40" w:after="40"/>
            </w:pPr>
            <w:r>
              <w:rPr>
                <w:sz w:val="18"/>
              </w:rPr>
              <w:t>18,592</w:t>
              <w:br/>
              <w:t>(17,313–18,240)</w:t>
            </w:r>
          </w:p>
        </w:tc>
        <w:tc>
          <w:tcPr>
            <w:tcW w:type="dxa" w:w="1768"/>
            <w:vAlign w:val="center"/>
          </w:tcPr>
          <w:p>
            <w:pPr>
              <w:spacing w:before="40" w:after="40"/>
            </w:pPr>
            <w:r>
              <w:rPr>
                <w:sz w:val="18"/>
              </w:rPr>
              <w:t>31,774</w:t>
              <w:br/>
              <w:t>(29,815–31,372)</w:t>
            </w:r>
          </w:p>
        </w:tc>
      </w:tr>
      <w:tr>
        <w:tc>
          <w:tcPr>
            <w:tcW w:type="dxa" w:w="1768"/>
            <w:shd w:val="clear" w:color="auto" w:fill="E8E8E8"/>
            <w:vAlign w:val="center"/>
          </w:tcPr>
          <w:p>
            <w:pPr>
              <w:spacing w:before="40" w:after="40"/>
            </w:pPr>
            <w:r>
              <w:rPr>
                <w:sz w:val="18"/>
              </w:rPr>
              <w:t>Combined†</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bl>
    <w:p>
      <w:pPr>
        <w:spacing w:after="80" w:before="0"/>
      </w:pPr>
      <w:r>
        <w:rPr>
          <w:sz w:val="16"/>
        </w:rPr>
        <w:t>† Combined: Singapore population weights [11].</w:t>
        <w:br/>
        <w:t>Values shown as N (95% CI lower–upper). ‡ EM point estimate may exceed CI upper bound at 95% due to left-skew in bootstrap distribution near saturation (see §2.4).</w:t>
      </w:r>
    </w:p>
    <w:p>
      <w:pPr>
        <w:spacing w:before="40" w:after="200"/>
        <w:jc w:val="center"/>
      </w:pPr>
      <w:r>
        <w:rPr>
          <w:i/>
          <w:sz w:val="18"/>
        </w:rPr>
        <w:t>Table: Table 2. Minimum same-ethnicity registry size for 8/8 HLA matching by coverage target. Bootstrap 95% CIs (Dirichlet resampling, 1,000 iterations) [18].</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The "Others" Group — Three Distinct Ancestry Clusters</w:t>
      </w:r>
    </w:p>
    <w:p>
      <w:pPr>
        <w:spacing w:after="120" w:before="0"/>
      </w:pPr>
      <w:r>
        <w:rPr>
          <w:sz w:val="20"/>
        </w:rPr>
        <w:t>The Others category in Singapore's CMIO classification is a catch-all for individuals who do not identify as Chinese, Malay, or Indian. It includes Eurasians, Caucasians, and individuals of mixed or diverse Asian ancestry [11]. A single registry model for this group implicitly assumes its members are HLA-similar enough to match one another — an assumption we tested by applying unsupervised clustering to the HLA fingerprints of 3,947 Others donors in the registry [1].</w:t>
      </w:r>
    </w:p>
    <w:p>
      <w:pPr>
        <w:jc w:val="center"/>
      </w:pPr>
      <w:r>
        <w:drawing>
          <wp:inline xmlns:a="http://schemas.openxmlformats.org/drawingml/2006/main" xmlns:pic="http://schemas.openxmlformats.org/drawingml/2006/picture">
            <wp:extent cx="5029200" cy="1772883"/>
            <wp:docPr id="2" name="Picture 2"/>
            <wp:cNvGraphicFramePr>
              <a:graphicFrameLocks noChangeAspect="1"/>
            </wp:cNvGraphicFramePr>
            <a:graphic>
              <a:graphicData uri="http://schemas.openxmlformats.org/drawingml/2006/picture">
                <pic:pic>
                  <pic:nvPicPr>
                    <pic:cNvPr id="0" name="others_pca_scatter.png"/>
                    <pic:cNvPicPr/>
                  </pic:nvPicPr>
                  <pic:blipFill>
                    <a:blip r:embed="rId10"/>
                    <a:stretch>
                      <a:fillRect/>
                    </a:stretch>
                  </pic:blipFill>
                  <pic:spPr>
                    <a:xfrm>
                      <a:off x="0" y="0"/>
                      <a:ext cx="5029200" cy="1772883"/>
                    </a:xfrm>
                    <a:prstGeom prst="rect"/>
                  </pic:spPr>
                </pic:pic>
              </a:graphicData>
            </a:graphic>
          </wp:inline>
        </w:drawing>
      </w:r>
    </w:p>
    <w:p>
      <w:pPr>
        <w:spacing w:before="40" w:after="200"/>
        <w:jc w:val="center"/>
      </w:pPr>
      <w:r>
        <w:rPr>
          <w:i/>
          <w:sz w:val="18"/>
        </w:rPr>
        <w:t>Figure: Figure 1. PCA scatter plot of 3,947 Others donors based on binary HLA allele indicators (alleles ≥1% frequency). Three clusters (k=3, silhouette=0.97) are clearly separated, indicating distinct ancestry backgrounds. Cluster identities (European/Eurasian, Filipino/SE Asian, NE Asian/Mixed) are inferred from haplotype signature matching [16,17].</w:t>
      </w:r>
    </w:p>
    <w:p>
      <w:pPr>
        <w:spacing w:after="120" w:before="0"/>
      </w:pPr>
      <w:r>
        <w:rPr>
          <w:sz w:val="20"/>
        </w:rPr>
        <w:t>The analysis revealed three well-separated clusters (silhouette coefficient 0.97). These clusters differ substantially in both their HLA haplotype composition and their registry size requirements (Table 4, Figure 2). Ancestry inference based on haplotype signature matching against the AFND [16] and published population references [1,17] suggests distinct origins for each cluster, as detailed in Table 5 and discussed below.</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D6DCE4"/>
            <w:vAlign w:val="center"/>
          </w:tcPr>
          <w:p>
            <w:pPr>
              <w:spacing w:before="40" w:after="40"/>
            </w:pPr>
            <w:r>
              <w:rPr>
                <w:sz w:val="18"/>
              </w:rPr>
              <w:t>Cluster 1</w:t>
            </w:r>
          </w:p>
        </w:tc>
        <w:tc>
          <w:tcPr>
            <w:tcW w:type="dxa" w:w="1263"/>
            <w:shd w:val="clear" w:color="auto" w:fill="D6DCE4"/>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FCE4D6"/>
            <w:vAlign w:val="center"/>
          </w:tcPr>
          <w:p>
            <w:pPr>
              <w:spacing w:before="40" w:after="40"/>
            </w:pPr>
            <w:r>
              <w:rPr>
                <w:sz w:val="18"/>
              </w:rPr>
              <w:t>Cluster 2</w:t>
            </w:r>
          </w:p>
        </w:tc>
        <w:tc>
          <w:tcPr>
            <w:tcW w:type="dxa" w:w="1263"/>
            <w:shd w:val="clear" w:color="auto" w:fill="FCE4D6"/>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E2EFDA"/>
            <w:vAlign w:val="center"/>
          </w:tcPr>
          <w:p>
            <w:pPr>
              <w:spacing w:before="40" w:after="40"/>
            </w:pPr>
            <w:r>
              <w:rPr>
                <w:sz w:val="18"/>
              </w:rPr>
              <w:t>Cluster 3</w:t>
            </w:r>
          </w:p>
        </w:tc>
        <w:tc>
          <w:tcPr>
            <w:tcW w:type="dxa" w:w="1263"/>
            <w:shd w:val="clear" w:color="auto" w:fill="E2EFDA"/>
            <w:vAlign w:val="center"/>
          </w:tcPr>
          <w:p>
            <w:pPr>
              <w:spacing w:before="40" w:after="40"/>
            </w:pPr>
            <w:r>
              <w:rPr>
                <w:sz w:val="18"/>
              </w:rPr>
              <w:t>NE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spacing w:after="120" w:before="0"/>
      </w:pPr>
      <w:r>
        <w:rPr>
          <w:sz w:val="20"/>
        </w:rPr>
        <w:t>Table 5 presents the top five haplotypes for each cluster with their frequencies and population association evidence. The haplotype signatures provide a clear basis for ancestry inference [16,17]:</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Cluster</w:t>
            </w:r>
          </w:p>
        </w:tc>
        <w:tc>
          <w:tcPr>
            <w:tcW w:type="dxa" w:w="1768"/>
            <w:vAlign w:val="center"/>
            <w:shd w:val="clear" w:color="auto" w:fill="1F4E79"/>
          </w:tcPr>
          <w:p>
            <w:pPr>
              <w:spacing w:before="40" w:after="40"/>
            </w:pPr>
            <w:r>
              <w:rPr>
                <w:b/>
                <w:color w:val="FFFFFF"/>
                <w:sz w:val="18"/>
              </w:rPr>
              <w:t>Rank</w:t>
            </w:r>
          </w:p>
        </w:tc>
        <w:tc>
          <w:tcPr>
            <w:tcW w:type="dxa" w:w="1768"/>
            <w:vAlign w:val="center"/>
            <w:shd w:val="clear" w:color="auto" w:fill="1F4E79"/>
          </w:tcPr>
          <w:p>
            <w:pPr>
              <w:spacing w:before="40" w:after="40"/>
            </w:pPr>
            <w:r>
              <w:rPr>
                <w:b/>
                <w:color w:val="FFFFFF"/>
                <w:sz w:val="18"/>
              </w:rPr>
              <w:t>Haplotype (A~B~C~DRB1~DQB1)</w:t>
            </w:r>
          </w:p>
        </w:tc>
        <w:tc>
          <w:tcPr>
            <w:tcW w:type="dxa" w:w="1768"/>
            <w:vAlign w:val="center"/>
            <w:shd w:val="clear" w:color="auto" w:fill="1F4E79"/>
          </w:tcPr>
          <w:p>
            <w:pPr>
              <w:spacing w:before="40" w:after="40"/>
            </w:pPr>
            <w:r>
              <w:rPr>
                <w:b/>
                <w:color w:val="FFFFFF"/>
                <w:sz w:val="18"/>
              </w:rPr>
              <w:t>Freq (%)</w:t>
            </w:r>
          </w:p>
        </w:tc>
        <w:tc>
          <w:tcPr>
            <w:tcW w:type="dxa" w:w="1768"/>
            <w:vAlign w:val="center"/>
            <w:shd w:val="clear" w:color="auto" w:fill="1F4E79"/>
          </w:tcPr>
          <w:p>
            <w:pPr>
              <w:spacing w:before="40" w:after="40"/>
            </w:pPr>
            <w:r>
              <w:rPr>
                <w:b/>
                <w:color w:val="FFFFFF"/>
                <w:sz w:val="18"/>
              </w:rPr>
              <w:t>Population association</w:t>
            </w:r>
          </w:p>
        </w:tc>
      </w:tr>
      <w:tr>
        <w:tc>
          <w:tcPr>
            <w:tcW w:type="dxa" w:w="1768"/>
            <w:shd w:val="clear" w:color="auto" w:fill="D6DCE4"/>
            <w:vAlign w:val="center"/>
          </w:tcPr>
          <w:p>
            <w:pPr>
              <w:spacing w:before="40" w:after="40"/>
            </w:pPr>
            <w:r>
              <w:rPr>
                <w:sz w:val="18"/>
              </w:rPr>
              <w:t>Cluster 1</w:t>
            </w:r>
          </w:p>
        </w:tc>
        <w:tc>
          <w:tcPr>
            <w:tcW w:type="dxa" w:w="1768"/>
            <w:vAlign w:val="center"/>
          </w:tcPr>
          <w:p>
            <w:pPr>
              <w:spacing w:before="40" w:after="40"/>
            </w:pPr>
            <w:r>
              <w:rPr>
                <w:sz w:val="18"/>
              </w:rPr>
              <w:t>1</w:t>
            </w:r>
          </w:p>
        </w:tc>
        <w:tc>
          <w:tcPr>
            <w:tcW w:type="dxa" w:w="1768"/>
            <w:vAlign w:val="center"/>
          </w:tcPr>
          <w:p>
            <w:pPr>
              <w:spacing w:before="40" w:after="40"/>
            </w:pPr>
            <w:r>
              <w:rPr>
                <w:sz w:val="18"/>
              </w:rPr>
              <w:t>A*01:01~B*08:01~C*07:01~DRB1*03:01~DQB1*02:01</w:t>
            </w:r>
          </w:p>
        </w:tc>
        <w:tc>
          <w:tcPr>
            <w:tcW w:type="dxa" w:w="1768"/>
            <w:vAlign w:val="center"/>
          </w:tcPr>
          <w:p>
            <w:pPr>
              <w:spacing w:before="40" w:after="40"/>
            </w:pPr>
            <w:r>
              <w:rPr>
                <w:sz w:val="18"/>
              </w:rPr>
              <w:t>12.2</w:t>
            </w:r>
          </w:p>
        </w:tc>
        <w:tc>
          <w:tcPr>
            <w:tcW w:type="dxa" w:w="1768"/>
            <w:vAlign w:val="center"/>
          </w:tcPr>
          <w:p>
            <w:pPr>
              <w:spacing w:before="40" w:after="40"/>
            </w:pPr>
            <w:r>
              <w:rPr>
                <w:sz w:val="18"/>
              </w:rPr>
              <w:t>8.1 Ancestral Haplotype — hallmark Northern European [17]</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A*33:03~B*44:03~C*07:01~DRB1*07:01~DQB1*02:01</w:t>
            </w:r>
          </w:p>
        </w:tc>
        <w:tc>
          <w:tcPr>
            <w:tcW w:type="dxa" w:w="1768"/>
            <w:vAlign w:val="center"/>
          </w:tcPr>
          <w:p>
            <w:pPr>
              <w:spacing w:before="40" w:after="40"/>
            </w:pPr>
            <w:r>
              <w:rPr>
                <w:sz w:val="18"/>
              </w:rPr>
              <w:t>10.2</w:t>
            </w:r>
          </w:p>
        </w:tc>
        <w:tc>
          <w:tcPr>
            <w:tcW w:type="dxa" w:w="1768"/>
            <w:vAlign w:val="center"/>
          </w:tcPr>
          <w:p>
            <w:pPr>
              <w:spacing w:before="40" w:after="40"/>
            </w:pPr>
            <w:r>
              <w:rPr>
                <w:sz w:val="18"/>
              </w:rPr>
              <w:t>Common South Asian (Indian subcontinent)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A*33:03~B*58:01~C*03:02~DRB1*03:01~DQB1*02:01</w:t>
            </w:r>
          </w:p>
        </w:tc>
        <w:tc>
          <w:tcPr>
            <w:tcW w:type="dxa" w:w="1768"/>
            <w:vAlign w:val="center"/>
          </w:tcPr>
          <w:p>
            <w:pPr>
              <w:spacing w:before="40" w:after="40"/>
            </w:pPr>
            <w:r>
              <w:rPr>
                <w:sz w:val="18"/>
              </w:rPr>
              <w:t>10.2</w:t>
            </w:r>
          </w:p>
        </w:tc>
        <w:tc>
          <w:tcPr>
            <w:tcW w:type="dxa" w:w="1768"/>
            <w:vAlign w:val="center"/>
          </w:tcPr>
          <w:p>
            <w:pPr>
              <w:spacing w:before="40" w:after="40"/>
            </w:pPr>
            <w:r>
              <w:rPr>
                <w:sz w:val="18"/>
              </w:rPr>
              <w:t>Most common Chinese/East Asian haplotype [1]</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A*01:01~B*57:01~C*06:02~DRB1*07:01~DQB1*03:03</w:t>
            </w:r>
          </w:p>
        </w:tc>
        <w:tc>
          <w:tcPr>
            <w:tcW w:type="dxa" w:w="1768"/>
            <w:vAlign w:val="center"/>
          </w:tcPr>
          <w:p>
            <w:pPr>
              <w:spacing w:before="40" w:after="40"/>
            </w:pPr>
            <w:r>
              <w:rPr>
                <w:sz w:val="18"/>
              </w:rPr>
              <w:t>5.1</w:t>
            </w:r>
          </w:p>
        </w:tc>
        <w:tc>
          <w:tcPr>
            <w:tcW w:type="dxa" w:w="1768"/>
            <w:vAlign w:val="center"/>
          </w:tcPr>
          <w:p>
            <w:pPr>
              <w:spacing w:before="40" w:after="40"/>
            </w:pPr>
            <w:r>
              <w:rPr>
                <w:sz w:val="18"/>
              </w:rPr>
              <w:t>South Asian signature (India, Sri Lanka)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A*29:02~B*44:03~C*16:01~DRB1*07:01~DQB1*02:01</w:t>
            </w:r>
          </w:p>
        </w:tc>
        <w:tc>
          <w:tcPr>
            <w:tcW w:type="dxa" w:w="1768"/>
            <w:vAlign w:val="center"/>
          </w:tcPr>
          <w:p>
            <w:pPr>
              <w:spacing w:before="40" w:after="40"/>
            </w:pPr>
            <w:r>
              <w:rPr>
                <w:sz w:val="18"/>
              </w:rPr>
              <w:t>2.8</w:t>
            </w:r>
          </w:p>
        </w:tc>
        <w:tc>
          <w:tcPr>
            <w:tcW w:type="dxa" w:w="1768"/>
            <w:vAlign w:val="center"/>
          </w:tcPr>
          <w:p>
            <w:pPr>
              <w:spacing w:before="40" w:after="40"/>
            </w:pPr>
            <w:r>
              <w:rPr>
                <w:sz w:val="18"/>
              </w:rPr>
              <w:t>Mediterranean / Middle Eastern European [16]</w:t>
            </w:r>
          </w:p>
        </w:tc>
      </w:tr>
      <w:tr>
        <w:tc>
          <w:tcPr>
            <w:tcW w:type="dxa" w:w="1768"/>
            <w:shd w:val="clear" w:color="auto" w:fill="FCE4D6"/>
            <w:vAlign w:val="center"/>
          </w:tcPr>
          <w:p>
            <w:pPr>
              <w:spacing w:before="40" w:after="40"/>
            </w:pPr>
            <w:r>
              <w:rPr>
                <w:sz w:val="18"/>
              </w:rPr>
              <w:t>Cluster 2</w:t>
            </w:r>
          </w:p>
        </w:tc>
        <w:tc>
          <w:tcPr>
            <w:tcW w:type="dxa" w:w="1768"/>
            <w:vAlign w:val="center"/>
          </w:tcPr>
          <w:p>
            <w:pPr>
              <w:spacing w:before="40" w:after="40"/>
            </w:pPr>
            <w:r>
              <w:rPr>
                <w:sz w:val="18"/>
              </w:rPr>
              <w:t>1</w:t>
            </w:r>
          </w:p>
        </w:tc>
        <w:tc>
          <w:tcPr>
            <w:tcW w:type="dxa" w:w="1768"/>
            <w:vAlign w:val="center"/>
          </w:tcPr>
          <w:p>
            <w:pPr>
              <w:spacing w:before="40" w:after="40"/>
            </w:pPr>
            <w:r>
              <w:rPr>
                <w:sz w:val="18"/>
              </w:rPr>
              <w:t>A*24:07~B*35:05~C*04:01~DRB1*12:02~DQB1*03:01</w:t>
            </w:r>
          </w:p>
        </w:tc>
        <w:tc>
          <w:tcPr>
            <w:tcW w:type="dxa" w:w="1768"/>
            <w:vAlign w:val="center"/>
          </w:tcPr>
          <w:p>
            <w:pPr>
              <w:spacing w:before="40" w:after="40"/>
            </w:pPr>
            <w:r>
              <w:rPr>
                <w:sz w:val="18"/>
              </w:rPr>
              <w:t>9.1</w:t>
            </w:r>
          </w:p>
        </w:tc>
        <w:tc>
          <w:tcPr>
            <w:tcW w:type="dxa" w:w="1768"/>
            <w:vAlign w:val="center"/>
          </w:tcPr>
          <w:p>
            <w:pPr>
              <w:spacing w:before="40" w:after="40"/>
            </w:pPr>
            <w:r>
              <w:rPr>
                <w:sz w:val="18"/>
              </w:rPr>
              <w:t>Filipino / SE Asian archipelago (B*35:05–DRB1*12:02)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A*11:01~B*15:02~C*08:01~DRB1*12:02~DQB1*03:01</w:t>
            </w:r>
          </w:p>
        </w:tc>
        <w:tc>
          <w:tcPr>
            <w:tcW w:type="dxa" w:w="1768"/>
            <w:vAlign w:val="center"/>
          </w:tcPr>
          <w:p>
            <w:pPr>
              <w:spacing w:before="40" w:after="40"/>
            </w:pPr>
            <w:r>
              <w:rPr>
                <w:sz w:val="18"/>
              </w:rPr>
              <w:t>8.4</w:t>
            </w:r>
          </w:p>
        </w:tc>
        <w:tc>
          <w:tcPr>
            <w:tcW w:type="dxa" w:w="1768"/>
            <w:vAlign w:val="center"/>
          </w:tcPr>
          <w:p>
            <w:pPr>
              <w:spacing w:before="40" w:after="40"/>
            </w:pPr>
            <w:r>
              <w:rPr>
                <w:sz w:val="18"/>
              </w:rPr>
              <w:t>Most common Filipino haplotype (B*15:02–DRB1*12:02)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A*02:01~B*15:13~C*08:01~DRB1*12:02~DQB1*03:01</w:t>
            </w:r>
          </w:p>
        </w:tc>
        <w:tc>
          <w:tcPr>
            <w:tcW w:type="dxa" w:w="1768"/>
            <w:vAlign w:val="center"/>
          </w:tcPr>
          <w:p>
            <w:pPr>
              <w:spacing w:before="40" w:after="40"/>
            </w:pPr>
            <w:r>
              <w:rPr>
                <w:sz w:val="18"/>
              </w:rPr>
              <w:t>3.5</w:t>
            </w:r>
          </w:p>
        </w:tc>
        <w:tc>
          <w:tcPr>
            <w:tcW w:type="dxa" w:w="1768"/>
            <w:vAlign w:val="center"/>
          </w:tcPr>
          <w:p>
            <w:pPr>
              <w:spacing w:before="40" w:after="40"/>
            </w:pPr>
            <w:r>
              <w:rPr>
                <w:sz w:val="18"/>
              </w:rPr>
              <w:t>SE Asian (B*15:13 — Philippines, Indonesia) [16]</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A*24:02~B*15:02~C*08:01~DRB1*12:02~DQB1*03:01</w:t>
            </w:r>
          </w:p>
        </w:tc>
        <w:tc>
          <w:tcPr>
            <w:tcW w:type="dxa" w:w="1768"/>
            <w:vAlign w:val="center"/>
          </w:tcPr>
          <w:p>
            <w:pPr>
              <w:spacing w:before="40" w:after="40"/>
            </w:pPr>
            <w:r>
              <w:rPr>
                <w:sz w:val="18"/>
              </w:rPr>
              <w:t>2.8</w:t>
            </w:r>
          </w:p>
        </w:tc>
        <w:tc>
          <w:tcPr>
            <w:tcW w:type="dxa" w:w="1768"/>
            <w:vAlign w:val="center"/>
          </w:tcPr>
          <w:p>
            <w:pPr>
              <w:spacing w:before="40" w:after="40"/>
            </w:pPr>
            <w:r>
              <w:rPr>
                <w:sz w:val="18"/>
              </w:rPr>
              <w:t>Filipino / Thai / Indonesian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A*02:01~B*44:02~C*05:01~DRB1*04:01~DQB1*03:01</w:t>
            </w:r>
          </w:p>
        </w:tc>
        <w:tc>
          <w:tcPr>
            <w:tcW w:type="dxa" w:w="1768"/>
            <w:vAlign w:val="center"/>
          </w:tcPr>
          <w:p>
            <w:pPr>
              <w:spacing w:before="40" w:after="40"/>
            </w:pPr>
            <w:r>
              <w:rPr>
                <w:sz w:val="18"/>
              </w:rPr>
              <w:t>2.4</w:t>
            </w:r>
          </w:p>
        </w:tc>
        <w:tc>
          <w:tcPr>
            <w:tcW w:type="dxa" w:w="1768"/>
            <w:vAlign w:val="center"/>
          </w:tcPr>
          <w:p>
            <w:pPr>
              <w:spacing w:before="40" w:after="40"/>
            </w:pPr>
            <w:r>
              <w:rPr>
                <w:sz w:val="18"/>
              </w:rPr>
              <w:t>—</w:t>
            </w:r>
          </w:p>
        </w:tc>
      </w:tr>
      <w:tr>
        <w:tc>
          <w:tcPr>
            <w:tcW w:type="dxa" w:w="1768"/>
            <w:shd w:val="clear" w:color="auto" w:fill="E2EFDA"/>
            <w:vAlign w:val="center"/>
          </w:tcPr>
          <w:p>
            <w:pPr>
              <w:spacing w:before="40" w:after="40"/>
            </w:pPr>
            <w:r>
              <w:rPr>
                <w:sz w:val="18"/>
              </w:rPr>
              <w:t>Cluster 3</w:t>
            </w:r>
          </w:p>
        </w:tc>
        <w:tc>
          <w:tcPr>
            <w:tcW w:type="dxa" w:w="1768"/>
            <w:vAlign w:val="center"/>
          </w:tcPr>
          <w:p>
            <w:pPr>
              <w:spacing w:before="40" w:after="40"/>
            </w:pPr>
            <w:r>
              <w:rPr>
                <w:sz w:val="18"/>
              </w:rPr>
              <w:t>1</w:t>
            </w:r>
          </w:p>
        </w:tc>
        <w:tc>
          <w:tcPr>
            <w:tcW w:type="dxa" w:w="1768"/>
            <w:vAlign w:val="center"/>
          </w:tcPr>
          <w:p>
            <w:pPr>
              <w:spacing w:before="40" w:after="40"/>
            </w:pPr>
            <w:r>
              <w:rPr>
                <w:sz w:val="18"/>
              </w:rPr>
              <w:t>A*02:07~B*46:01~C*01:02~DRB1*09:01~DQB1*03:03</w:t>
            </w:r>
          </w:p>
        </w:tc>
        <w:tc>
          <w:tcPr>
            <w:tcW w:type="dxa" w:w="1768"/>
            <w:vAlign w:val="center"/>
          </w:tcPr>
          <w:p>
            <w:pPr>
              <w:spacing w:before="40" w:after="40"/>
            </w:pPr>
            <w:r>
              <w:rPr>
                <w:sz w:val="18"/>
              </w:rPr>
              <w:t>4.7</w:t>
            </w:r>
          </w:p>
        </w:tc>
        <w:tc>
          <w:tcPr>
            <w:tcW w:type="dxa" w:w="1768"/>
            <w:vAlign w:val="center"/>
          </w:tcPr>
          <w:p>
            <w:pPr>
              <w:spacing w:before="40" w:after="40"/>
            </w:pPr>
            <w:r>
              <w:rPr>
                <w:sz w:val="18"/>
              </w:rPr>
              <w:t>Chinese-specific (A*02:07–B*46:01) [1]</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A*24:02~B*38:02~C*07:02~DRB1*15:02~DQB1*05:02</w:t>
            </w:r>
          </w:p>
        </w:tc>
        <w:tc>
          <w:tcPr>
            <w:tcW w:type="dxa" w:w="1768"/>
            <w:vAlign w:val="center"/>
          </w:tcPr>
          <w:p>
            <w:pPr>
              <w:spacing w:before="40" w:after="40"/>
            </w:pPr>
            <w:r>
              <w:rPr>
                <w:sz w:val="18"/>
              </w:rPr>
              <w:t>3.7</w:t>
            </w:r>
          </w:p>
        </w:tc>
        <w:tc>
          <w:tcPr>
            <w:tcW w:type="dxa" w:w="1768"/>
            <w:vAlign w:val="center"/>
          </w:tcPr>
          <w:p>
            <w:pPr>
              <w:spacing w:before="40" w:after="40"/>
            </w:pPr>
            <w:r>
              <w:rPr>
                <w:sz w:val="18"/>
              </w:rPr>
              <w:t>Japanese / Korean signature (B*38:02–DRB1*15:02)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A*34:01~B*15:21~C*04:03~DRB1*15:02~DQB1*06:01</w:t>
            </w:r>
          </w:p>
        </w:tc>
        <w:tc>
          <w:tcPr>
            <w:tcW w:type="dxa" w:w="1768"/>
            <w:vAlign w:val="center"/>
          </w:tcPr>
          <w:p>
            <w:pPr>
              <w:spacing w:before="40" w:after="40"/>
            </w:pPr>
            <w:r>
              <w:rPr>
                <w:sz w:val="18"/>
              </w:rPr>
              <w:t>2.9</w:t>
            </w:r>
          </w:p>
        </w:tc>
        <w:tc>
          <w:tcPr>
            <w:tcW w:type="dxa" w:w="1768"/>
            <w:vAlign w:val="center"/>
          </w:tcPr>
          <w:p>
            <w:pPr>
              <w:spacing w:before="40" w:after="40"/>
            </w:pPr>
            <w:r>
              <w:rPr>
                <w:sz w:val="18"/>
              </w:rPr>
              <w:t>South/SE Asian [16]</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A*03:01~B*07:02~C*07:02~DRB1*15:01~DQB1*06:02</w:t>
            </w:r>
          </w:p>
        </w:tc>
        <w:tc>
          <w:tcPr>
            <w:tcW w:type="dxa" w:w="1768"/>
            <w:vAlign w:val="center"/>
          </w:tcPr>
          <w:p>
            <w:pPr>
              <w:spacing w:before="40" w:after="40"/>
            </w:pPr>
            <w:r>
              <w:rPr>
                <w:sz w:val="18"/>
              </w:rPr>
              <w:t>2.8</w:t>
            </w:r>
          </w:p>
        </w:tc>
        <w:tc>
          <w:tcPr>
            <w:tcW w:type="dxa" w:w="1768"/>
            <w:vAlign w:val="center"/>
          </w:tcPr>
          <w:p>
            <w:pPr>
              <w:spacing w:before="40" w:after="40"/>
            </w:pPr>
            <w:r>
              <w:rPr>
                <w:sz w:val="18"/>
              </w:rPr>
              <w:t>Common European haplotype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A*29:01~B*07:05~C*15:05~DRB1*10:01~DQB1*05:01</w:t>
            </w:r>
          </w:p>
        </w:tc>
        <w:tc>
          <w:tcPr>
            <w:tcW w:type="dxa" w:w="1768"/>
            <w:vAlign w:val="center"/>
          </w:tcPr>
          <w:p>
            <w:pPr>
              <w:spacing w:before="40" w:after="40"/>
            </w:pPr>
            <w:r>
              <w:rPr>
                <w:sz w:val="18"/>
              </w:rPr>
              <w:t>2.2</w:t>
            </w:r>
          </w:p>
        </w:tc>
        <w:tc>
          <w:tcPr>
            <w:tcW w:type="dxa" w:w="1768"/>
            <w:vAlign w:val="center"/>
          </w:tcPr>
          <w:p>
            <w:pPr>
              <w:spacing w:before="40" w:after="40"/>
            </w:pPr>
            <w:r>
              <w:rPr>
                <w:sz w:val="18"/>
              </w:rPr>
              <w:t>South Asian / mixed [16]</w:t>
            </w:r>
          </w:p>
        </w:tc>
      </w:tr>
    </w:tbl>
    <w:p>
      <w:pPr>
        <w:spacing w:before="40" w:after="200"/>
        <w:jc w:val="center"/>
      </w:pPr>
      <w:r>
        <w:rPr>
          <w:i/>
          <w:sz w:val="18"/>
        </w:rPr>
        <w:t>Table: Table 5. Top 5 haplotypes per Others sub-cluster with population association evidence. Frequencies are within-cluster. Population assignments cross-referenced against AFND [16] and published references [1,17].</w:t>
      </w:r>
    </w:p>
    <w:p>
      <w:pPr>
        <w:spacing w:after="120" w:before="0"/>
      </w:pPr>
      <w:r>
        <w:rPr>
          <w:sz w:val="20"/>
        </w:rPr>
        <w:t>[1] Cluster 1 (n=1,029; N* 35,193 at 95%) is dominated by A*01:01~B*08:01~C*07:01~DRB1*03:01~DQB1*02:01 at 12.2% — the "8.1 ancestral haplotype" (AH 8.1) that is pathognomonic for Northern European ancestry and is found at 8–12% in UK and Irish populations [17]. Secondary haplotypes include South Asian (A*33:03~B*44:03~DRB1*07:01 at 10.2%) and East Asian (A*33:03~B*58:01~C*03:02~DRB1*03:01 at 10.2%) signatures. This cluster most likely represents Singaporean Eurasians with primarily European heritage (British, Portuguese, Dutch descent) and Caucasian expat residents. Its relatively lower registry requirement (35,193) reflects the concentrated nature of common European haplotypes [16,17].</w:t>
      </w:r>
    </w:p>
    <w:p>
      <w:pPr>
        <w:spacing w:after="120" w:before="0"/>
      </w:pPr>
      <w:r>
        <w:rPr>
          <w:sz w:val="20"/>
        </w:rPr>
        <w:t>Cluster 2 (n=1,257; N* 63,856 at 95%) is characterised by A*24:07~B*35:05~C*04:01~DRB1*12:02~DQB1*03:01 (9.1%) and A*11:01~B*15:02~C*08:01~DRB1*12:02~DQB1*03:01 (8.4%). The combination of B*15:02 and DRB1*12:02 is the hallmark haplotype of Filipino populations and is prevalent across the Southeast Asian archipelago (Philippines, Indonesia, Thailand) [16]. This cluster most likely represents Filipinos and other Malay Archipelago nationals residing in Singapore. Its substantially higher registry requirement (63,856) reflects the high haplotype diversity characteristic of island Southeast Asian populations — consistent with a population that has undergone extensive admixture across the archipelago [16].</w:t>
      </w:r>
    </w:p>
    <w:p>
      <w:pPr>
        <w:spacing w:after="120" w:before="0"/>
      </w:pPr>
      <w:r>
        <w:rPr>
          <w:sz w:val="20"/>
        </w:rPr>
        <w:t>Cluster 3 (n=1,561; N* 45,731 at 95%) is led by A*02:07~B*46:01~C*01:02~DRB1*09:01~DQB1*03:03 (4.7%), an allele combination that is almost exclusively found in East Asian (predominantly Chinese) populations — A*02:07 and B*46:01 are both East Asian-specific [1]. The second most common haplotype, A*24:02~B*38:02~C*07:02~DRB1*15:02 (3.7%), is characteristic of Japanese and Korean populations [16], while A*03:01~B*07:02~C*07:02~DRB1*15:01 (2.8%) is a common European haplotype. The mixed haplotype profile suggests this cluster represents Northeast Asians (Japanese, Korean, Vietnamese), Peranakan (Straits Chinese), and individuals of mixed East Asian–European ancestry. Its intermediate registry requirement (45,731) is consistent with this diverse composition [16].</w:t>
      </w:r>
    </w:p>
    <w:p>
      <w:pPr>
        <w:spacing w:after="120" w:before="0"/>
      </w:pPr>
      <w:r>
        <w:rPr>
          <w:sz w:val="20"/>
        </w:rPr>
        <w:t>Critically, the pooled Others estimate (32,360 at 95%) is a mathematical artefact of heterogeneous population mixing and must not be used as a policy target. Because pooling averages haplotype frequencies across divergent sub-populations, it creates a spurious common-pool distribution that is lower than that of every individual sub-cluster — producing a combined N* that is lower than any constituent group's N*. This is statistically counter-intuitive and would systematically under-serve every sub-group if used for planning. The Filipino/SE Asian cluster (Cluster 2, N* 63,856) represents the highest-diversity sub-group and should set the ceiling for Others recruitment planning. No registry targeting only 32,360 Others donors can realistically achieve 95% coverage for Cluster 1, 2, or 3.</w:t>
      </w:r>
    </w:p>
    <w:p>
      <w:pPr>
        <w:jc w:val="center"/>
      </w:pPr>
      <w:r>
        <w:drawing>
          <wp:inline xmlns:a="http://schemas.openxmlformats.org/drawingml/2006/main" xmlns:pic="http://schemas.openxmlformats.org/drawingml/2006/picture">
            <wp:extent cx="4754880" cy="2619455"/>
            <wp:docPr id="3" name="Picture 3"/>
            <wp:cNvGraphicFramePr>
              <a:graphicFrameLocks noChangeAspect="1"/>
            </wp:cNvGraphicFramePr>
            <a:graphic>
              <a:graphicData uri="http://schemas.openxmlformats.org/drawingml/2006/picture">
                <pic:pic>
                  <pic:nvPicPr>
                    <pic:cNvPr id="0" name="others_registry_by_cluster.png"/>
                    <pic:cNvPicPr/>
                  </pic:nvPicPr>
                  <pic:blipFill>
                    <a:blip r:embed="rId11"/>
                    <a:stretch>
                      <a:fillRect/>
                    </a:stretch>
                  </pic:blipFill>
                  <pic:spPr>
                    <a:xfrm>
                      <a:off x="0" y="0"/>
                      <a:ext cx="4754880" cy="2619455"/>
                    </a:xfrm>
                    <a:prstGeom prst="rect"/>
                  </pic:spPr>
                </pic:pic>
              </a:graphicData>
            </a:graphic>
          </wp:inline>
        </w:drawing>
      </w:r>
    </w:p>
    <w:p>
      <w:pPr>
        <w:spacing w:before="40" w:after="200"/>
        <w:jc w:val="center"/>
      </w:pPr>
      <w:r>
        <w:rPr>
          <w:i/>
          <w:sz w:val="18"/>
        </w:rPr>
        <w:t>Figure: Figure 2. Coverage curves for each Others sub-cluster at 10/10 matching. Cluster 2 — putatively Filipino/SE Asian — requires nearly twice as many donors as Cluster 1 at 95% coverage. The pooled Others estimate (dashed) is a mathematical artefact that masks this disparity. Recommended policy ceiling: 63,856 donors (Cluster 2 / Filipino/SE Asian).</w:t>
      </w:r>
    </w:p>
    <w:p>
      <w:pPr>
        <w:pStyle w:val="Heading2"/>
        <w:spacing w:before="240" w:after="80"/>
      </w:pPr>
      <w:r>
        <w:t>3.5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1155725"/>
            <wp:docPr id="4" name="Picture 4"/>
            <wp:cNvGraphicFramePr>
              <a:graphicFrameLocks noChangeAspect="1"/>
            </wp:cNvGraphicFramePr>
            <a:graphic>
              <a:graphicData uri="http://schemas.openxmlformats.org/drawingml/2006/picture">
                <pic:pic>
                  <pic:nvPicPr>
                    <pic:cNvPr id="0" name="partial_match_10locus.png"/>
                    <pic:cNvPicPr/>
                  </pic:nvPicPr>
                  <pic:blipFill>
                    <a:blip r:embed="rId12"/>
                    <a:stretch>
                      <a:fillRect/>
                    </a:stretch>
                  </pic:blipFill>
                  <pic:spPr>
                    <a:xfrm>
                      <a:off x="0" y="0"/>
                      <a:ext cx="5669280" cy="1155725"/>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[14,19].</w:t>
      </w:r>
    </w:p>
    <w:p>
      <w:pPr>
        <w:jc w:val="center"/>
      </w:pPr>
      <w:r>
        <w:drawing>
          <wp:inline xmlns:a="http://schemas.openxmlformats.org/drawingml/2006/main" xmlns:pic="http://schemas.openxmlformats.org/drawingml/2006/picture">
            <wp:extent cx="5669280" cy="1155725"/>
            <wp:docPr id="5" name="Picture 5"/>
            <wp:cNvGraphicFramePr>
              <a:graphicFrameLocks noChangeAspect="1"/>
            </wp:cNvGraphicFramePr>
            <a:graphic>
              <a:graphicData uri="http://schemas.openxmlformats.org/drawingml/2006/picture">
                <pic:pic>
                  <pic:nvPicPr>
                    <pic:cNvPr id="0" name="partial_match_8locus.png"/>
                    <pic:cNvPicPr/>
                  </pic:nvPicPr>
                  <pic:blipFill>
                    <a:blip r:embed="rId13"/>
                    <a:stretch>
                      <a:fillRect/>
                    </a:stretch>
                  </pic:blipFill>
                  <pic:spPr>
                    <a:xfrm>
                      <a:off x="0" y="0"/>
                      <a:ext cx="5669280" cy="1155725"/>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3.6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actual patient composition from referral data,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Actual patients</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6" name="Picture 6"/>
            <wp:cNvGraphicFramePr>
              <a:graphicFrameLocks noChangeAspect="1"/>
            </wp:cNvGraphicFramePr>
            <a:graphic>
              <a:graphicData uri="http://schemas.openxmlformats.org/drawingml/2006/picture">
                <pic:pic>
                  <pic:nvPicPr>
                    <pic:cNvPr id="0" name="cross_ethnic_sensitivity.png"/>
                    <pic:cNvPicPr/>
                  </pic:nvPicPr>
                  <pic:blipFill>
                    <a:blip r:embed="rId14"/>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3.7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patients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7" name="Picture 7"/>
            <wp:cNvGraphicFramePr>
              <a:graphicFrameLocks noChangeAspect="1"/>
            </wp:cNvGraphicFramePr>
            <a:graphic>
              <a:graphicData uri="http://schemas.openxmlformats.org/drawingml/2006/picture">
                <pic:pic>
                  <pic:nvPicPr>
                    <pic:cNvPr id="0" name="match_validation_scatter.png"/>
                    <pic:cNvPicPr/>
                  </pic:nvPicPr>
                  <pic:blipFill>
                    <a:blip r:embed="rId15"/>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For Malay and Others, sample sizes are insufficient for reliable rank correlation [1]. These results support the use of EM-phased frequencies as the basis for registry size projections, while highlighting the need for larger patient cohorts in minority groups.</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[14].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§3.4).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the analysis assumes Hardy–Weinberg equilibrium for diplotype frequency calculation. HWE departures were detected in Indian and Others groups at several loci, likely reflecting population sub-structure [1], which may cause modest underestimation of rare diplotype frequencies. Second, the EM algorithm was capped at 5,000 samples per ethnicity for computational efficiency. Third, the Others cluster ancestry assignments are inferred from haplotype signatures [16,17] without confirmed self-reported ancestry data — the cluster labels are indicative. Fourth, validation of EM frequencies against patient haplotypes was limited by small patient sample sizes in Malay, Indian, and Others groups [1].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Partial-match analysis demonstrates that 9/10 matching halves this requirement [14,19], providing a practical and clinically justifiable path to improving access in the near term [12,15]. The Others group requires particular attention: three distinct ancestry sub-clusters — European/Eurasian, Filipino/SE Asian, and Northeast Asian — have registry requirements ranging from 35,000 to 64,000 donors, with the pooled estimate masking the severe under-coverage of the highest-diversity sub-cluster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[14,15]; and (3) ancestry sub-group characterisation of Others donors to enable targeted recruitment and accurate match probability estimation [16]. Together, these measures can substantially improve HSCT access equity for all communities in Singapore.</w:t>
      </w:r>
    </w:p>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