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By construction, the bootstrap median always falls within the reported CI, satisfying the standard convention for point estimate reporting.</w:t>
      </w:r>
    </w:p>
    <w:p>
      <w:pPr>
        <w:spacing w:after="120" w:before="0"/>
      </w:pPr>
      <w:r>
        <w:rPr>
          <w:sz w:val="20"/>
        </w:rPr>
        <w:t>For clinical planning purposes, the bootstrap median is a conservative and robust target: it is the registry size below which half of all plausible sampling realisations would leave the stated coverage threshold unmet. EM maximum-likelihood estimates are retained in the supplementary data archive for reference;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Weighted Average: Singapore population weights (Chinese 77%, Malay 8%, Indian 9%, Others 6%)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(§3.4)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Weighted Average: Singapore population weights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Note on the "Others" Subgroup</w:t>
      </w:r>
    </w:p>
    <w:p>
      <w:pPr>
        <w:spacing w:after="120" w:before="0"/>
      </w:pPr>
      <w:r>
        <w:rPr>
          <w:sz w:val="20"/>
        </w:rPr>
        <w:t>The Others category in Singapore's CMIO classification encompasses Eurasians, Caucasians, and individuals of mixed or diverse Asian ancestry [11]. Unsupervised clustering (k=3, silhouette=0.97) of 3,941 Others donors reveals three genetically distinct sub-groups — European/Eurasian, Filipino/SE Asian, and Northeast Asian/Mixed — with markedly different registry size requirements (Table 4). The pooled Others estimate in Table 1 is a mathematical artefact of heterogeneous population mixing and should not be used as a standalone policy target; the Filipino/SE Asian sub-cluster ceiling of 63,856 donors provides the appropriate conservative planning figure for this group.</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D6DCE4"/>
            <w:vAlign w:val="center"/>
          </w:tcPr>
          <w:p>
            <w:pPr>
              <w:spacing w:before="40" w:after="40"/>
            </w:pPr>
            <w:r>
              <w:rPr>
                <w:sz w:val="18"/>
              </w:rPr>
              <w:t>Cluster 1</w:t>
            </w:r>
          </w:p>
        </w:tc>
        <w:tc>
          <w:tcPr>
            <w:tcW w:type="dxa" w:w="1263"/>
            <w:shd w:val="clear" w:color="auto" w:fill="D6DCE4"/>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FCE4D6"/>
            <w:vAlign w:val="center"/>
          </w:tcPr>
          <w:p>
            <w:pPr>
              <w:spacing w:before="40" w:after="40"/>
            </w:pPr>
            <w:r>
              <w:rPr>
                <w:sz w:val="18"/>
              </w:rPr>
              <w:t>Cluster 2</w:t>
            </w:r>
          </w:p>
        </w:tc>
        <w:tc>
          <w:tcPr>
            <w:tcW w:type="dxa" w:w="1263"/>
            <w:shd w:val="clear" w:color="auto" w:fill="FCE4D6"/>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E2EFDA"/>
            <w:vAlign w:val="center"/>
          </w:tcPr>
          <w:p>
            <w:pPr>
              <w:spacing w:before="40" w:after="40"/>
            </w:pPr>
            <w:r>
              <w:rPr>
                <w:sz w:val="18"/>
              </w:rPr>
              <w:t>Cluster 3</w:t>
            </w:r>
          </w:p>
        </w:tc>
        <w:tc>
          <w:tcPr>
            <w:tcW w:type="dxa" w:w="1263"/>
            <w:shd w:val="clear" w:color="auto" w:fill="E2EFDA"/>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2" name="Picture 2"/>
            <wp:cNvGraphicFramePr>
              <a:graphicFrameLocks noChangeAspect="1"/>
            </wp:cNvGraphicFramePr>
            <a:graphic>
              <a:graphicData uri="http://schemas.openxmlformats.org/drawingml/2006/picture">
                <pic:pic>
                  <pic:nvPicPr>
                    <pic:cNvPr id="0" name="partial_match_10locus.png"/>
                    <pic:cNvPicPr/>
                  </pic:nvPicPr>
                  <pic:blipFill>
                    <a:blip r:embed="rId10"/>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3" name="Picture 3"/>
            <wp:cNvGraphicFramePr>
              <a:graphicFrameLocks noChangeAspect="1"/>
            </wp:cNvGraphicFramePr>
            <a:graphic>
              <a:graphicData uri="http://schemas.openxmlformats.org/drawingml/2006/picture">
                <pic:pic>
                  <pic:nvPicPr>
                    <pic:cNvPr id="0" name="partial_match_8locus.png"/>
                    <pic:cNvPicPr/>
                  </pic:nvPicPr>
                  <pic:blipFill>
                    <a:blip r:embed="rId11"/>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HSA Patient-Donor Data (referral composition from Health Sciences Authority Singapore),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HSA Patient-Donor Data</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4" name="Picture 4"/>
            <wp:cNvGraphicFramePr>
              <a:graphicFrameLocks noChangeAspect="1"/>
            </wp:cNvGraphicFramePr>
            <a:graphic>
              <a:graphicData uri="http://schemas.openxmlformats.org/drawingml/2006/picture">
                <pic:pic>
                  <pic:nvPicPr>
                    <pic:cNvPr id="0" name="cross_ethnic_sensitivity.png"/>
                    <pic:cNvPicPr/>
                  </pic:nvPicPr>
                  <pic:blipFill>
                    <a:blip r:embed="rId12"/>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including HSA Patient-Donor Data (Health Sciences Authority Singapore).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patient-donor pairs provided by the Health Sciences Authority (HSA) Singapore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5" name="Picture 5"/>
            <wp:cNvGraphicFramePr>
              <a:graphicFrameLocks noChangeAspect="1"/>
            </wp:cNvGraphicFramePr>
            <a:graphic>
              <a:graphicData uri="http://schemas.openxmlformats.org/drawingml/2006/picture">
                <pic:pic>
                  <pic:nvPicPr>
                    <pic:cNvPr id="0" name="match_validation_scatter.png"/>
                    <pic:cNvPicPr/>
                  </pic:nvPicPr>
                  <pic:blipFill>
                    <a:blip r:embed="rId13"/>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group requires particular attention: three distinct ancestry sub-clusters — European/Eurasian, Filipino/SE Asian, and Northeast Asian — have registry requirements ranging from 35,000 to 64,000 donors, with the pooled estimate masking the severe under-coverage of the highest-diversity sub-cluster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characterisation of Others donors to enable targeted recruitment and accurate match probability estimation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