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By construction, the bootstrap median always falls within the reported CI, satisfying the standard convention for point estimate reporting.</w:t>
      </w:r>
    </w:p>
    <w:p>
      <w:pPr>
        <w:spacing w:after="120" w:before="0"/>
      </w:pPr>
      <w:r>
        <w:rPr>
          <w:sz w:val="20"/>
        </w:rPr>
        <w:t>The left-skew in the bootstrap distribution at ≥95% coverage reflects a known statistical property: when N*(f) is concave in haplotype frequencies near saturation, the maximum-likelihood (EM) point estimate systematically exceeds the bootstrap median. Using the bootstrap median as the reported central estimate corrects for this bias. EM maximum-likelihood estimates are retained in the supplementary data archive as reference values. Narrower CIs indicate more precisely estimated haplotype frequencies.</w:t>
      </w:r>
    </w:p>
    <w:p>
      <w:pPr>
        <w:spacing w:after="120" w:before="0"/>
      </w:pPr>
      <w:r>
        <w:rPr>
          <w:sz w:val="20"/>
        </w:rPr>
        <w:t>For clinical planning purposes, the bootstrap median is the more conservative and robust target: it is the registry size below which half of all plausible sampling realisations would leave the stated coverage threshold unmet. Planners may therefore use it as a well-grounded, real-world minimum.</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Combined row reflects Singapore population weights [11].</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Combined†</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Combined: Singapore population weights (Chinese 77%, Malay 8%, Indian 9%, Others 6%) [11].</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(§3.4)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1250"/>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Combined†</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Combined: Singapore population weights [11].</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The "Others" Group — Three Distinct Ancestry Clusters</w:t>
      </w:r>
    </w:p>
    <w:p>
      <w:pPr>
        <w:spacing w:after="120" w:before="0"/>
      </w:pPr>
      <w:r>
        <w:rPr>
          <w:sz w:val="20"/>
        </w:rPr>
        <w:t>The Others category in Singapore's CMIO classification is a catch-all for individuals who do not identify as Chinese, Malay, or Indian. It includes Eurasians, Caucasians, and individuals of mixed or diverse Asian ancestry [11]. A single registry model for this group implicitly assumes its members are HLA-similar enough to match one another — an assumption we tested by applying unsupervised clustering to the HLA fingerprints of 3,947 Others donors in the registry [1].</w:t>
      </w:r>
    </w:p>
    <w:p>
      <w:pPr>
        <w:jc w:val="center"/>
      </w:pPr>
      <w:r>
        <w:drawing>
          <wp:inline xmlns:a="http://schemas.openxmlformats.org/drawingml/2006/main" xmlns:pic="http://schemas.openxmlformats.org/drawingml/2006/picture">
            <wp:extent cx="5029200" cy="1772883"/>
            <wp:docPr id="2" name="Picture 2"/>
            <wp:cNvGraphicFramePr>
              <a:graphicFrameLocks noChangeAspect="1"/>
            </wp:cNvGraphicFramePr>
            <a:graphic>
              <a:graphicData uri="http://schemas.openxmlformats.org/drawingml/2006/picture">
                <pic:pic>
                  <pic:nvPicPr>
                    <pic:cNvPr id="0" name="others_pca_scatter.png"/>
                    <pic:cNvPicPr/>
                  </pic:nvPicPr>
                  <pic:blipFill>
                    <a:blip r:embed="rId10"/>
                    <a:stretch>
                      <a:fillRect/>
                    </a:stretch>
                  </pic:blipFill>
                  <pic:spPr>
                    <a:xfrm>
                      <a:off x="0" y="0"/>
                      <a:ext cx="5029200" cy="1772883"/>
                    </a:xfrm>
                    <a:prstGeom prst="rect"/>
                  </pic:spPr>
                </pic:pic>
              </a:graphicData>
            </a:graphic>
          </wp:inline>
        </w:drawing>
      </w:r>
    </w:p>
    <w:p>
      <w:pPr>
        <w:spacing w:before="40" w:after="200"/>
        <w:jc w:val="center"/>
      </w:pPr>
      <w:r>
        <w:rPr>
          <w:i/>
          <w:sz w:val="18"/>
        </w:rPr>
        <w:t>Figure: Figure 1. PCA scatter plot of 3,947 Others donors based on binary HLA allele indicators (alleles ≥1% frequency). Three clusters (k=3, silhouette=0.97) are clearly separated, indicating distinct ancestry backgrounds. Cluster identities (European/Eurasian, Filipino/SE Asian, NE Asian/Mixed) are inferred from haplotype signature matching [16,17].</w:t>
      </w:r>
    </w:p>
    <w:p>
      <w:pPr>
        <w:spacing w:after="120" w:before="0"/>
      </w:pPr>
      <w:r>
        <w:rPr>
          <w:sz w:val="20"/>
        </w:rPr>
        <w:t>The analysis revealed three well-separated clusters (silhouette coefficient 0.97). These clusters differ substantially in both their HLA haplotype composition and their registry size requirements (Table 4, Figure 2). Ancestry inference based on haplotype signature matching against the AFND [16] and published population references [1,17] suggests distinct origins for each cluster, as detailed in Table 5 and discussed below.</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D6DCE4"/>
            <w:vAlign w:val="center"/>
          </w:tcPr>
          <w:p>
            <w:pPr>
              <w:spacing w:before="40" w:after="40"/>
            </w:pPr>
            <w:r>
              <w:rPr>
                <w:sz w:val="18"/>
              </w:rPr>
              <w:t>Cluster 1</w:t>
            </w:r>
          </w:p>
        </w:tc>
        <w:tc>
          <w:tcPr>
            <w:tcW w:type="dxa" w:w="1263"/>
            <w:shd w:val="clear" w:color="auto" w:fill="D6DCE4"/>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FCE4D6"/>
            <w:vAlign w:val="center"/>
          </w:tcPr>
          <w:p>
            <w:pPr>
              <w:spacing w:before="40" w:after="40"/>
            </w:pPr>
            <w:r>
              <w:rPr>
                <w:sz w:val="18"/>
              </w:rPr>
              <w:t>Cluster 2</w:t>
            </w:r>
          </w:p>
        </w:tc>
        <w:tc>
          <w:tcPr>
            <w:tcW w:type="dxa" w:w="1263"/>
            <w:shd w:val="clear" w:color="auto" w:fill="FCE4D6"/>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E2EFDA"/>
            <w:vAlign w:val="center"/>
          </w:tcPr>
          <w:p>
            <w:pPr>
              <w:spacing w:before="40" w:after="40"/>
            </w:pPr>
            <w:r>
              <w:rPr>
                <w:sz w:val="18"/>
              </w:rPr>
              <w:t>Cluster 3</w:t>
            </w:r>
          </w:p>
        </w:tc>
        <w:tc>
          <w:tcPr>
            <w:tcW w:type="dxa" w:w="1263"/>
            <w:shd w:val="clear" w:color="auto" w:fill="E2EFDA"/>
            <w:vAlign w:val="center"/>
          </w:tcPr>
          <w:p>
            <w:pPr>
              <w:spacing w:before="40" w:after="40"/>
            </w:pPr>
            <w:r>
              <w:rPr>
                <w:sz w:val="18"/>
              </w:rPr>
              <w:t>NE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spacing w:after="120" w:before="0"/>
      </w:pPr>
      <w:r>
        <w:rPr>
          <w:sz w:val="20"/>
        </w:rPr>
        <w:t>Table 5 presents the top five haplotypes for each cluster with their frequencies and population association evidence. The haplotype signatures provide a clear basis for ancestry inference [16,17]:</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Cluster</w:t>
            </w:r>
          </w:p>
        </w:tc>
        <w:tc>
          <w:tcPr>
            <w:tcW w:type="dxa" w:w="1768"/>
            <w:vAlign w:val="center"/>
            <w:shd w:val="clear" w:color="auto" w:fill="1F4E79"/>
          </w:tcPr>
          <w:p>
            <w:pPr>
              <w:spacing w:before="40" w:after="40"/>
            </w:pPr>
            <w:r>
              <w:rPr>
                <w:b/>
                <w:color w:val="FFFFFF"/>
                <w:sz w:val="18"/>
              </w:rPr>
              <w:t>Rank</w:t>
            </w:r>
          </w:p>
        </w:tc>
        <w:tc>
          <w:tcPr>
            <w:tcW w:type="dxa" w:w="1768"/>
            <w:vAlign w:val="center"/>
            <w:shd w:val="clear" w:color="auto" w:fill="1F4E79"/>
          </w:tcPr>
          <w:p>
            <w:pPr>
              <w:spacing w:before="40" w:after="40"/>
            </w:pPr>
            <w:r>
              <w:rPr>
                <w:b/>
                <w:color w:val="FFFFFF"/>
                <w:sz w:val="18"/>
              </w:rPr>
              <w:t>Haplotype (A~B~C~DRB1~DQB1)</w:t>
            </w:r>
          </w:p>
        </w:tc>
        <w:tc>
          <w:tcPr>
            <w:tcW w:type="dxa" w:w="1768"/>
            <w:vAlign w:val="center"/>
            <w:shd w:val="clear" w:color="auto" w:fill="1F4E79"/>
          </w:tcPr>
          <w:p>
            <w:pPr>
              <w:spacing w:before="40" w:after="40"/>
            </w:pPr>
            <w:r>
              <w:rPr>
                <w:b/>
                <w:color w:val="FFFFFF"/>
                <w:sz w:val="18"/>
              </w:rPr>
              <w:t>Freq (%)</w:t>
            </w:r>
          </w:p>
        </w:tc>
        <w:tc>
          <w:tcPr>
            <w:tcW w:type="dxa" w:w="1768"/>
            <w:vAlign w:val="center"/>
            <w:shd w:val="clear" w:color="auto" w:fill="1F4E79"/>
          </w:tcPr>
          <w:p>
            <w:pPr>
              <w:spacing w:before="40" w:after="40"/>
            </w:pPr>
            <w:r>
              <w:rPr>
                <w:b/>
                <w:color w:val="FFFFFF"/>
                <w:sz w:val="18"/>
              </w:rPr>
              <w:t>Population association</w:t>
            </w:r>
          </w:p>
        </w:tc>
      </w:tr>
      <w:tr>
        <w:tc>
          <w:tcPr>
            <w:tcW w:type="dxa" w:w="1768"/>
            <w:shd w:val="clear" w:color="auto" w:fill="D6DCE4"/>
            <w:vAlign w:val="center"/>
          </w:tcPr>
          <w:p>
            <w:pPr>
              <w:spacing w:before="40" w:after="40"/>
            </w:pPr>
            <w:r>
              <w:rPr>
                <w:sz w:val="18"/>
              </w:rPr>
              <w:t>Cluster 1</w:t>
            </w:r>
          </w:p>
        </w:tc>
        <w:tc>
          <w:tcPr>
            <w:tcW w:type="dxa" w:w="1768"/>
            <w:vAlign w:val="center"/>
          </w:tcPr>
          <w:p>
            <w:pPr>
              <w:spacing w:before="40" w:after="40"/>
            </w:pPr>
            <w:r>
              <w:rPr>
                <w:sz w:val="18"/>
              </w:rPr>
              <w:t>1</w:t>
            </w:r>
          </w:p>
        </w:tc>
        <w:tc>
          <w:tcPr>
            <w:tcW w:type="dxa" w:w="1768"/>
            <w:vAlign w:val="center"/>
          </w:tcPr>
          <w:p>
            <w:pPr>
              <w:spacing w:before="40" w:after="40"/>
            </w:pPr>
            <w:r>
              <w:rPr>
                <w:sz w:val="18"/>
              </w:rPr>
              <w:t>A*01:01~B*08:01~C*07:01~DRB1*03:01~DQB1*02:01</w:t>
            </w:r>
          </w:p>
        </w:tc>
        <w:tc>
          <w:tcPr>
            <w:tcW w:type="dxa" w:w="1768"/>
            <w:vAlign w:val="center"/>
          </w:tcPr>
          <w:p>
            <w:pPr>
              <w:spacing w:before="40" w:after="40"/>
            </w:pPr>
            <w:r>
              <w:rPr>
                <w:sz w:val="18"/>
              </w:rPr>
              <w:t>12.2</w:t>
            </w:r>
          </w:p>
        </w:tc>
        <w:tc>
          <w:tcPr>
            <w:tcW w:type="dxa" w:w="1768"/>
            <w:vAlign w:val="center"/>
          </w:tcPr>
          <w:p>
            <w:pPr>
              <w:spacing w:before="40" w:after="40"/>
            </w:pPr>
            <w:r>
              <w:rPr>
                <w:sz w:val="18"/>
              </w:rPr>
              <w:t>8.1 Ancestral Haplotype — hallmark Northern European [17]</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A*33:03~B*44:03~C*07:01~DRB1*07:01~DQB1*02:01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Common South Asian (Indian subcontinent)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A*33:03~B*58:01~C*03:02~DRB1*03:01~DQB1*02:01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Most common Chinese/East Asian haplotype [1]</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A*01:01~B*57:01~C*06:02~DRB1*07:01~DQB1*03:03</w:t>
            </w:r>
          </w:p>
        </w:tc>
        <w:tc>
          <w:tcPr>
            <w:tcW w:type="dxa" w:w="1768"/>
            <w:vAlign w:val="center"/>
          </w:tcPr>
          <w:p>
            <w:pPr>
              <w:spacing w:before="40" w:after="40"/>
            </w:pPr>
            <w:r>
              <w:rPr>
                <w:sz w:val="18"/>
              </w:rPr>
              <w:t>5.1</w:t>
            </w:r>
          </w:p>
        </w:tc>
        <w:tc>
          <w:tcPr>
            <w:tcW w:type="dxa" w:w="1768"/>
            <w:vAlign w:val="center"/>
          </w:tcPr>
          <w:p>
            <w:pPr>
              <w:spacing w:before="40" w:after="40"/>
            </w:pPr>
            <w:r>
              <w:rPr>
                <w:sz w:val="18"/>
              </w:rPr>
              <w:t>South Asian signature (India, Sri Lanka)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A*29:02~B*44:03~C*16:01~DRB1*07:01~DQB1*02:01</w:t>
            </w:r>
          </w:p>
        </w:tc>
        <w:tc>
          <w:tcPr>
            <w:tcW w:type="dxa" w:w="1768"/>
            <w:vAlign w:val="center"/>
          </w:tcPr>
          <w:p>
            <w:pPr>
              <w:spacing w:before="40" w:after="40"/>
            </w:pPr>
            <w:r>
              <w:rPr>
                <w:sz w:val="18"/>
              </w:rPr>
              <w:t>2.8</w:t>
            </w:r>
          </w:p>
        </w:tc>
        <w:tc>
          <w:tcPr>
            <w:tcW w:type="dxa" w:w="1768"/>
            <w:vAlign w:val="center"/>
          </w:tcPr>
          <w:p>
            <w:pPr>
              <w:spacing w:before="40" w:after="40"/>
            </w:pPr>
            <w:r>
              <w:rPr>
                <w:sz w:val="18"/>
              </w:rPr>
              <w:t>Mediterranean / Middle Eastern European [16]</w:t>
            </w:r>
          </w:p>
        </w:tc>
      </w:tr>
      <w:tr>
        <w:tc>
          <w:tcPr>
            <w:tcW w:type="dxa" w:w="1768"/>
            <w:shd w:val="clear" w:color="auto" w:fill="FCE4D6"/>
            <w:vAlign w:val="center"/>
          </w:tcPr>
          <w:p>
            <w:pPr>
              <w:spacing w:before="40" w:after="40"/>
            </w:pPr>
            <w:r>
              <w:rPr>
                <w:sz w:val="18"/>
              </w:rPr>
              <w:t>Cluster 2</w:t>
            </w:r>
          </w:p>
        </w:tc>
        <w:tc>
          <w:tcPr>
            <w:tcW w:type="dxa" w:w="1768"/>
            <w:vAlign w:val="center"/>
          </w:tcPr>
          <w:p>
            <w:pPr>
              <w:spacing w:before="40" w:after="40"/>
            </w:pPr>
            <w:r>
              <w:rPr>
                <w:sz w:val="18"/>
              </w:rPr>
              <w:t>1</w:t>
            </w:r>
          </w:p>
        </w:tc>
        <w:tc>
          <w:tcPr>
            <w:tcW w:type="dxa" w:w="1768"/>
            <w:vAlign w:val="center"/>
          </w:tcPr>
          <w:p>
            <w:pPr>
              <w:spacing w:before="40" w:after="40"/>
            </w:pPr>
            <w:r>
              <w:rPr>
                <w:sz w:val="18"/>
              </w:rPr>
              <w:t>A*24:07~B*35:05~C*04:01~DRB1*12:02~DQB1*03:01</w:t>
            </w:r>
          </w:p>
        </w:tc>
        <w:tc>
          <w:tcPr>
            <w:tcW w:type="dxa" w:w="1768"/>
            <w:vAlign w:val="center"/>
          </w:tcPr>
          <w:p>
            <w:pPr>
              <w:spacing w:before="40" w:after="40"/>
            </w:pPr>
            <w:r>
              <w:rPr>
                <w:sz w:val="18"/>
              </w:rPr>
              <w:t>9.1</w:t>
            </w:r>
          </w:p>
        </w:tc>
        <w:tc>
          <w:tcPr>
            <w:tcW w:type="dxa" w:w="1768"/>
            <w:vAlign w:val="center"/>
          </w:tcPr>
          <w:p>
            <w:pPr>
              <w:spacing w:before="40" w:after="40"/>
            </w:pPr>
            <w:r>
              <w:rPr>
                <w:sz w:val="18"/>
              </w:rPr>
              <w:t>Filipino / SE Asian archipelago (B*35:05–DRB1*12:02)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A*11:01~B*15:02~C*08:01~DRB1*12:02~DQB1*03:01</w:t>
            </w:r>
          </w:p>
        </w:tc>
        <w:tc>
          <w:tcPr>
            <w:tcW w:type="dxa" w:w="1768"/>
            <w:vAlign w:val="center"/>
          </w:tcPr>
          <w:p>
            <w:pPr>
              <w:spacing w:before="40" w:after="40"/>
            </w:pPr>
            <w:r>
              <w:rPr>
                <w:sz w:val="18"/>
              </w:rPr>
              <w:t>8.4</w:t>
            </w:r>
          </w:p>
        </w:tc>
        <w:tc>
          <w:tcPr>
            <w:tcW w:type="dxa" w:w="1768"/>
            <w:vAlign w:val="center"/>
          </w:tcPr>
          <w:p>
            <w:pPr>
              <w:spacing w:before="40" w:after="40"/>
            </w:pPr>
            <w:r>
              <w:rPr>
                <w:sz w:val="18"/>
              </w:rPr>
              <w:t>Most common Filipino haplotype (B*15:02–DRB1*12:02)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A*02:01~B*15:13~C*08:01~DRB1*12:02~DQB1*03:01</w:t>
            </w:r>
          </w:p>
        </w:tc>
        <w:tc>
          <w:tcPr>
            <w:tcW w:type="dxa" w:w="1768"/>
            <w:vAlign w:val="center"/>
          </w:tcPr>
          <w:p>
            <w:pPr>
              <w:spacing w:before="40" w:after="40"/>
            </w:pPr>
            <w:r>
              <w:rPr>
                <w:sz w:val="18"/>
              </w:rPr>
              <w:t>3.5</w:t>
            </w:r>
          </w:p>
        </w:tc>
        <w:tc>
          <w:tcPr>
            <w:tcW w:type="dxa" w:w="1768"/>
            <w:vAlign w:val="center"/>
          </w:tcPr>
          <w:p>
            <w:pPr>
              <w:spacing w:before="40" w:after="40"/>
            </w:pPr>
            <w:r>
              <w:rPr>
                <w:sz w:val="18"/>
              </w:rPr>
              <w:t>SE Asian (B*15:13 — Philippines, Indonesia)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A*24:02~B*15:02~C*08:01~DRB1*12:02~DQB1*03:01</w:t>
            </w:r>
          </w:p>
        </w:tc>
        <w:tc>
          <w:tcPr>
            <w:tcW w:type="dxa" w:w="1768"/>
            <w:vAlign w:val="center"/>
          </w:tcPr>
          <w:p>
            <w:pPr>
              <w:spacing w:before="40" w:after="40"/>
            </w:pPr>
            <w:r>
              <w:rPr>
                <w:sz w:val="18"/>
              </w:rPr>
              <w:t>2.8</w:t>
            </w:r>
          </w:p>
        </w:tc>
        <w:tc>
          <w:tcPr>
            <w:tcW w:type="dxa" w:w="1768"/>
            <w:vAlign w:val="center"/>
          </w:tcPr>
          <w:p>
            <w:pPr>
              <w:spacing w:before="40" w:after="40"/>
            </w:pPr>
            <w:r>
              <w:rPr>
                <w:sz w:val="18"/>
              </w:rPr>
              <w:t>Filipino / Thai / Indonesian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A*02:01~B*44:02~C*05:01~DRB1*04:01~DQB1*03:01</w:t>
            </w:r>
          </w:p>
        </w:tc>
        <w:tc>
          <w:tcPr>
            <w:tcW w:type="dxa" w:w="1768"/>
            <w:vAlign w:val="center"/>
          </w:tcPr>
          <w:p>
            <w:pPr>
              <w:spacing w:before="40" w:after="40"/>
            </w:pPr>
            <w:r>
              <w:rPr>
                <w:sz w:val="18"/>
              </w:rPr>
              <w:t>2.4</w:t>
            </w:r>
          </w:p>
        </w:tc>
        <w:tc>
          <w:tcPr>
            <w:tcW w:type="dxa" w:w="1768"/>
            <w:vAlign w:val="center"/>
          </w:tcPr>
          <w:p>
            <w:pPr>
              <w:spacing w:before="40" w:after="40"/>
            </w:pPr>
            <w:r>
              <w:rPr>
                <w:sz w:val="18"/>
              </w:rPr>
              <w:t>—</w:t>
            </w:r>
          </w:p>
        </w:tc>
      </w:tr>
      <w:tr>
        <w:tc>
          <w:tcPr>
            <w:tcW w:type="dxa" w:w="1768"/>
            <w:shd w:val="clear" w:color="auto" w:fill="E2EFDA"/>
            <w:vAlign w:val="center"/>
          </w:tcPr>
          <w:p>
            <w:pPr>
              <w:spacing w:before="40" w:after="40"/>
            </w:pPr>
            <w:r>
              <w:rPr>
                <w:sz w:val="18"/>
              </w:rPr>
              <w:t>Cluster 3</w:t>
            </w:r>
          </w:p>
        </w:tc>
        <w:tc>
          <w:tcPr>
            <w:tcW w:type="dxa" w:w="1768"/>
            <w:vAlign w:val="center"/>
          </w:tcPr>
          <w:p>
            <w:pPr>
              <w:spacing w:before="40" w:after="40"/>
            </w:pPr>
            <w:r>
              <w:rPr>
                <w:sz w:val="18"/>
              </w:rPr>
              <w:t>1</w:t>
            </w:r>
          </w:p>
        </w:tc>
        <w:tc>
          <w:tcPr>
            <w:tcW w:type="dxa" w:w="1768"/>
            <w:vAlign w:val="center"/>
          </w:tcPr>
          <w:p>
            <w:pPr>
              <w:spacing w:before="40" w:after="40"/>
            </w:pPr>
            <w:r>
              <w:rPr>
                <w:sz w:val="18"/>
              </w:rPr>
              <w:t>A*02:07~B*46:01~C*01:02~DRB1*09:01~DQB1*03:03</w:t>
            </w:r>
          </w:p>
        </w:tc>
        <w:tc>
          <w:tcPr>
            <w:tcW w:type="dxa" w:w="1768"/>
            <w:vAlign w:val="center"/>
          </w:tcPr>
          <w:p>
            <w:pPr>
              <w:spacing w:before="40" w:after="40"/>
            </w:pPr>
            <w:r>
              <w:rPr>
                <w:sz w:val="18"/>
              </w:rPr>
              <w:t>4.7</w:t>
            </w:r>
          </w:p>
        </w:tc>
        <w:tc>
          <w:tcPr>
            <w:tcW w:type="dxa" w:w="1768"/>
            <w:vAlign w:val="center"/>
          </w:tcPr>
          <w:p>
            <w:pPr>
              <w:spacing w:before="40" w:after="40"/>
            </w:pPr>
            <w:r>
              <w:rPr>
                <w:sz w:val="18"/>
              </w:rPr>
              <w:t>Chinese-specific (A*02:07–B*46:01) [1]</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A*24:02~B*38:02~C*07:02~DRB1*15:02~DQB1*05:02</w:t>
            </w:r>
          </w:p>
        </w:tc>
        <w:tc>
          <w:tcPr>
            <w:tcW w:type="dxa" w:w="1768"/>
            <w:vAlign w:val="center"/>
          </w:tcPr>
          <w:p>
            <w:pPr>
              <w:spacing w:before="40" w:after="40"/>
            </w:pPr>
            <w:r>
              <w:rPr>
                <w:sz w:val="18"/>
              </w:rPr>
              <w:t>3.7</w:t>
            </w:r>
          </w:p>
        </w:tc>
        <w:tc>
          <w:tcPr>
            <w:tcW w:type="dxa" w:w="1768"/>
            <w:vAlign w:val="center"/>
          </w:tcPr>
          <w:p>
            <w:pPr>
              <w:spacing w:before="40" w:after="40"/>
            </w:pPr>
            <w:r>
              <w:rPr>
                <w:sz w:val="18"/>
              </w:rPr>
              <w:t>Japanese / Korean signature (B*38:02–DRB1*15:02)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A*34:01~B*15:21~C*04:03~DRB1*15:02~DQB1*06:01</w:t>
            </w:r>
          </w:p>
        </w:tc>
        <w:tc>
          <w:tcPr>
            <w:tcW w:type="dxa" w:w="1768"/>
            <w:vAlign w:val="center"/>
          </w:tcPr>
          <w:p>
            <w:pPr>
              <w:spacing w:before="40" w:after="40"/>
            </w:pPr>
            <w:r>
              <w:rPr>
                <w:sz w:val="18"/>
              </w:rPr>
              <w:t>2.9</w:t>
            </w:r>
          </w:p>
        </w:tc>
        <w:tc>
          <w:tcPr>
            <w:tcW w:type="dxa" w:w="1768"/>
            <w:vAlign w:val="center"/>
          </w:tcPr>
          <w:p>
            <w:pPr>
              <w:spacing w:before="40" w:after="40"/>
            </w:pPr>
            <w:r>
              <w:rPr>
                <w:sz w:val="18"/>
              </w:rPr>
              <w:t>South/SE Asian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A*03:01~B*07:02~C*07:02~DRB1*15:01~DQB1*06:02</w:t>
            </w:r>
          </w:p>
        </w:tc>
        <w:tc>
          <w:tcPr>
            <w:tcW w:type="dxa" w:w="1768"/>
            <w:vAlign w:val="center"/>
          </w:tcPr>
          <w:p>
            <w:pPr>
              <w:spacing w:before="40" w:after="40"/>
            </w:pPr>
            <w:r>
              <w:rPr>
                <w:sz w:val="18"/>
              </w:rPr>
              <w:t>2.8</w:t>
            </w:r>
          </w:p>
        </w:tc>
        <w:tc>
          <w:tcPr>
            <w:tcW w:type="dxa" w:w="1768"/>
            <w:vAlign w:val="center"/>
          </w:tcPr>
          <w:p>
            <w:pPr>
              <w:spacing w:before="40" w:after="40"/>
            </w:pPr>
            <w:r>
              <w:rPr>
                <w:sz w:val="18"/>
              </w:rPr>
              <w:t>Common European haplotype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A*29:01~B*07:05~C*15:05~DRB1*10:01~DQB1*05:01</w:t>
            </w:r>
          </w:p>
        </w:tc>
        <w:tc>
          <w:tcPr>
            <w:tcW w:type="dxa" w:w="1768"/>
            <w:vAlign w:val="center"/>
          </w:tcPr>
          <w:p>
            <w:pPr>
              <w:spacing w:before="40" w:after="40"/>
            </w:pPr>
            <w:r>
              <w:rPr>
                <w:sz w:val="18"/>
              </w:rPr>
              <w:t>2.2</w:t>
            </w:r>
          </w:p>
        </w:tc>
        <w:tc>
          <w:tcPr>
            <w:tcW w:type="dxa" w:w="1768"/>
            <w:vAlign w:val="center"/>
          </w:tcPr>
          <w:p>
            <w:pPr>
              <w:spacing w:before="40" w:after="40"/>
            </w:pPr>
            <w:r>
              <w:rPr>
                <w:sz w:val="18"/>
              </w:rPr>
              <w:t>South Asian / mixed [16]</w:t>
            </w:r>
          </w:p>
        </w:tc>
      </w:tr>
    </w:tbl>
    <w:p>
      <w:pPr>
        <w:spacing w:before="40" w:after="200"/>
        <w:jc w:val="center"/>
      </w:pPr>
      <w:r>
        <w:rPr>
          <w:i/>
          <w:sz w:val="18"/>
        </w:rPr>
        <w:t>Table: Table 5. Top 5 haplotypes per Others sub-cluster with population association evidence. Frequencies are within-cluster. Population assignments cross-referenced against AFND [16] and published references [1,17].</w:t>
      </w:r>
    </w:p>
    <w:p>
      <w:pPr>
        <w:spacing w:after="120" w:before="0"/>
      </w:pPr>
      <w:r>
        <w:rPr>
          <w:sz w:val="20"/>
        </w:rPr>
        <w:t>Cluster 1 (n=1,029; N* 35,193 at 95%) is dominated by A*01:01~B*08:01~C*07:01~DRB1*03:01~DQB1*02:01 at 12.2% — the "8.1 ancestral haplotype" (AH 8.1) that is pathognomonic for Northern European ancestry and is found at 8–12% in UK and Irish populations [17]. Secondary haplotypes include South Asian (A*33:03~B*44:03~DRB1*07:01 at 10.2%) and East Asian (A*33:03~B*58:01~C*03:02~DRB1*03:01 at 10.2%) signatures. This cluster most likely represents Singaporean Eurasians with primarily European heritage (British, Portuguese, Dutch descent) and Caucasian expat residents</w:t>
      </w:r>
      <w:r>
        <w:rPr>
          <w:color w:val="FF0000"/>
          <w:sz w:val="20"/>
        </w:rPr>
        <w:t xml:space="preserve"> [1]</w:t>
      </w:r>
      <w:r>
        <w:rPr>
          <w:sz w:val="20"/>
        </w:rPr>
        <w:t>. Its relatively lower registry requirement (35,193) reflects the concentrated nature of common European haplotypes [16,17].</w:t>
      </w:r>
    </w:p>
    <w:p>
      <w:pPr>
        <w:spacing w:after="120" w:before="0"/>
      </w:pPr>
      <w:r>
        <w:rPr>
          <w:sz w:val="20"/>
        </w:rPr>
        <w:t>Cluster 2 (n=1,257; N* 63,856 at 95%) is characterised by A*24:07~B*35:05~C*04:01~DRB1*12:02~DQB1*03:01 (9.1%) and A*11:01~B*15:02~C*08:01~DRB1*12:02~DQB1*03:01 (8.4%). The combination of B*15:02 and DRB1*12:02 is the hallmark haplotype of Filipino populations and is prevalent across the Southeast Asian archipelago (Philippines, Indonesia, Thailand) [16]. This cluster most likely represents Filipinos and other Malay Archipelago nationals residing in Singapore. Its substantially higher registry requirement (63,856) reflects the high haplotype diversity characteristic of island Southeast Asian populations — consistent with a population that has undergone extensive admixture across the archipelago [16].</w:t>
      </w:r>
    </w:p>
    <w:p>
      <w:pPr>
        <w:spacing w:after="120" w:before="0"/>
      </w:pPr>
      <w:r>
        <w:rPr>
          <w:sz w:val="20"/>
        </w:rPr>
        <w:t>Cluster 3 (n=1,561; N* 45,731 at 95%) is led by A*02:07~B*46:01~C*01:02~DRB1*09:01~DQB1*03:03 (4.7%), an allele combination that is almost exclusively found in East Asian (predominantly Chinese) populations — A*02:07 and B*46:01 are both East Asian-specific [1]. The second most common haplotype, A*24:02~B*38:02~C*07:02~DRB1*15:02 (3.7%), is characteristic of Japanese and Korean populations [16], while A*03:01~B*07:02~C*07:02~DRB1*15:01 (2.8%) is a common European haplotype. The mixed haplotype profile suggests this cluster represents Northeast Asians (Japanese, Korean, Vietnamese), Peranakan (Straits Chinese), and individuals of mixed East Asian–European ancestry. Its intermediate registry requirement (45,731) is consistent with this diverse composition [16].</w:t>
      </w:r>
    </w:p>
    <w:p>
      <w:pPr>
        <w:spacing w:after="120" w:before="0"/>
      </w:pPr>
      <w:r>
        <w:rPr>
          <w:sz w:val="20"/>
        </w:rPr>
        <w:t>Critically, the pooled Others estimate (32,360 at 95%) is a mathematical artefact of heterogeneous population mixing and must not be used as a policy target. Because pooling averages haplotype frequencies across divergent sub-populations, it creates a spurious common-pool distribution that is lower than that of every individual sub-cluster — producing a combined N* that is lower than any constituent group's N*. This is statistically counter-intuitive and would systematically under-serve every sub-group if used for planning. The Filipino/SE Asian cluster (Cluster 2, N* 63,856) represents the highest-diversity sub-group and should set the ceiling for Others recruitment planning. No registry targeting only 32,360 Others donors can realistically achieve 95% coverage for Cluster 1, 2, or 3.</w:t>
      </w:r>
    </w:p>
    <w:p>
      <w:pPr>
        <w:jc w:val="center"/>
      </w:pPr>
      <w:r>
        <w:drawing>
          <wp:inline xmlns:a="http://schemas.openxmlformats.org/drawingml/2006/main" xmlns:pic="http://schemas.openxmlformats.org/drawingml/2006/picture">
            <wp:extent cx="4754880" cy="2619455"/>
            <wp:docPr id="3" name="Picture 3"/>
            <wp:cNvGraphicFramePr>
              <a:graphicFrameLocks noChangeAspect="1"/>
            </wp:cNvGraphicFramePr>
            <a:graphic>
              <a:graphicData uri="http://schemas.openxmlformats.org/drawingml/2006/picture">
                <pic:pic>
                  <pic:nvPicPr>
                    <pic:cNvPr id="0" name="others_registry_by_cluster.png"/>
                    <pic:cNvPicPr/>
                  </pic:nvPicPr>
                  <pic:blipFill>
                    <a:blip r:embed="rId11"/>
                    <a:stretch>
                      <a:fillRect/>
                    </a:stretch>
                  </pic:blipFill>
                  <pic:spPr>
                    <a:xfrm>
                      <a:off x="0" y="0"/>
                      <a:ext cx="4754880" cy="2619455"/>
                    </a:xfrm>
                    <a:prstGeom prst="rect"/>
                  </pic:spPr>
                </pic:pic>
              </a:graphicData>
            </a:graphic>
          </wp:inline>
        </w:drawing>
      </w:r>
    </w:p>
    <w:p>
      <w:pPr>
        <w:spacing w:before="40" w:after="200"/>
        <w:jc w:val="center"/>
      </w:pPr>
      <w:r>
        <w:rPr>
          <w:i/>
          <w:sz w:val="18"/>
        </w:rPr>
        <w:t>Figure: Figure 2. Coverage curves for each Others sub-cluster at 10/10 matching. Cluster 2 — putatively Filipino/SE Asian — requires nearly twice as many donors as Cluster 1 at 95% coverage. The pooled Others estimate (dashed) is a mathematical artefact that masks this disparity. Recommended policy ceiling: 63,856 donors (Cluster 2 / Filipino/SE Asian).</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1155725"/>
            <wp:docPr id="4" name="Picture 4"/>
            <wp:cNvGraphicFramePr>
              <a:graphicFrameLocks noChangeAspect="1"/>
            </wp:cNvGraphicFramePr>
            <a:graphic>
              <a:graphicData uri="http://schemas.openxmlformats.org/drawingml/2006/picture">
                <pic:pic>
                  <pic:nvPicPr>
                    <pic:cNvPr id="0" name="partial_match_10locus.png"/>
                    <pic:cNvPicPr/>
                  </pic:nvPicPr>
                  <pic:blipFill>
                    <a:blip r:embed="rId12"/>
                    <a:stretch>
                      <a:fillRect/>
                    </a:stretch>
                  </pic:blipFill>
                  <pic:spPr>
                    <a:xfrm>
                      <a:off x="0" y="0"/>
                      <a:ext cx="5669280" cy="1155725"/>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1155725"/>
            <wp:docPr id="5" name="Picture 5"/>
            <wp:cNvGraphicFramePr>
              <a:graphicFrameLocks noChangeAspect="1"/>
            </wp:cNvGraphicFramePr>
            <a:graphic>
              <a:graphicData uri="http://schemas.openxmlformats.org/drawingml/2006/picture">
                <pic:pic>
                  <pic:nvPicPr>
                    <pic:cNvPr id="0" name="partial_match_8locus.png"/>
                    <pic:cNvPicPr/>
                  </pic:nvPicPr>
                  <pic:blipFill>
                    <a:blip r:embed="rId13"/>
                    <a:stretch>
                      <a:fillRect/>
                    </a:stretch>
                  </pic:blipFill>
                  <pic:spPr>
                    <a:xfrm>
                      <a:off x="0" y="0"/>
                      <a:ext cx="5669280" cy="1155725"/>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actual patient composition from referral data,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Actual patients</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6" name="Picture 6"/>
            <wp:cNvGraphicFramePr>
              <a:graphicFrameLocks noChangeAspect="1"/>
            </wp:cNvGraphicFramePr>
            <a:graphic>
              <a:graphicData uri="http://schemas.openxmlformats.org/drawingml/2006/picture">
                <pic:pic>
                  <pic:nvPicPr>
                    <pic:cNvPr id="0" name="cross_ethnic_sensitivity.png"/>
                    <pic:cNvPicPr/>
                  </pic:nvPicPr>
                  <pic:blipFill>
                    <a:blip r:embed="rId14"/>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patients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7" name="Picture 7"/>
            <wp:cNvGraphicFramePr>
              <a:graphicFrameLocks noChangeAspect="1"/>
            </wp:cNvGraphicFramePr>
            <a:graphic>
              <a:graphicData uri="http://schemas.openxmlformats.org/drawingml/2006/picture">
                <pic:pic>
                  <pic:nvPicPr>
                    <pic:cNvPr id="0" name="match_validation_scatter.png"/>
                    <pic:cNvPicPr/>
                  </pic:nvPicPr>
                  <pic:blipFill>
                    <a:blip r:embed="rId15"/>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For Malay and Others, sample sizes are insufficient for reliable rank correlation [1]. These results support the use of EM-phased frequencies as the basis for registry size projections, while highlighting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the analysis assumes Hardy–Weinberg equilibrium for diplotype frequency calculation. HWE departures were detected in Indian and Others groups at several loci, likely reflecting population sub-structure [1], which may cause modest underestimation of rare diplotype frequencies. Second, the EM algorithm was capped at 5,000 samples per ethnicity for computational efficiency. Third, the Others cluster ancestry assignments are inferred from haplotype signatures [16,17] without confirmed self-reported ancestry data — the cluster labels are indicative. Fourth, validation of EM frequencies against patient haplotypes was limited by small patient sample sizes in Malay, Indian, and Others groups [1].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group requires particular attention: three distinct ancestry sub-clusters — European/Eurasian, Filipino/SE Asian, and Northeast Asian — have registry requirements ranging from 35,000 to 64,000 donors, with the pooled estimate masking the severe under-coverage of the highest-diversity sub-cluster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characterisation of Others donors to enable targeted recruitment and accurate match probability estimation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