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b/>
          <w:bCs/>
        </w:rPr>
        <w:t xml:space="preserve">LAMPIRAN A</w:t>
      </w:r>
    </w:p>
    <w:p>
      <w:pPr>
        <w:spacing w:after="80" w:before="200"/>
        <w:jc w:val="center"/>
      </w:pPr>
      <w:r>
        <w:rPr>
          <w:b/>
          <w:bCs/>
          <w:sz w:val="30"/>
          <w:szCs w:val="30"/>
        </w:rPr>
        <w:t xml:space="preserve">LAPORAN KURSUS LUAR NEGARA</w:t>
      </w:r>
    </w:p>
    <w:p>
      <w:pPr>
        <w:spacing w:after="300"/>
        <w:jc w:val="center"/>
      </w:pPr>
      <w:r>
        <w:rPr>
          <w:b/>
          <w:bCs/>
        </w:rPr>
        <w:t xml:space="preserve">PROGRAM: PEMBANGUNAN KEPAKARAN DAN PERUNDING KERAJAAN (PRESTIJ)</w:t>
      </w:r>
    </w:p>
    <w:p>
      <w:pPr>
        <w:pStyle w:val="Heading1"/>
        <w:spacing w:after="140" w:before="280"/>
      </w:pPr>
      <w:r>
        <w:t xml:space="preserve">A. BUTIR-BUTIR PESERTA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80"/>
            </w:pPr>
            <w:r>
              <w:rPr>
                <w:b/>
                <w:bCs/>
              </w:rPr>
              <w:t xml:space="preserve">Nama Peserta</w:t>
            </w:r>
          </w:p>
        </w:tc>
        <w:tc>
          <w:tcPr>
            <w:tcW w:type="dxa" w:w="6226"/>
            <w:tcBorders>
              <w:top w:val="none" w:color="FFFFFF" w:sz="0"/>
              <w:left w:val="none" w:color="FFFFFF" w:sz="0"/>
              <w:bottom w:val="none" w:color="FFFFFF" w:sz="0"/>
              <w:right w:val="none" w:color="FFFFFF" w:sz="0"/>
            </w:tcBorders>
          </w:tcPr>
          <w:p>
            <w:pPr>
              <w:spacing w:after="80"/>
            </w:pPr>
            <w:r>
              <w:t xml:space="preserve">: Dr Alvin Auh Min Han</w:t>
            </w:r>
          </w:p>
        </w:tc>
      </w:tr>
      <w:tr>
        <w:tc>
          <w:tcPr>
            <w:tcW w:type="dxa" w:w="2800"/>
            <w:tcBorders>
              <w:top w:val="none" w:color="FFFFFF" w:sz="0"/>
              <w:left w:val="none" w:color="FFFFFF" w:sz="0"/>
              <w:bottom w:val="none" w:color="FFFFFF" w:sz="0"/>
              <w:right w:val="none" w:color="FFFFFF" w:sz="0"/>
            </w:tcBorders>
          </w:tcPr>
          <w:p>
            <w:pPr>
              <w:spacing w:after="80"/>
            </w:pPr>
            <w:r>
              <w:rPr>
                <w:b/>
                <w:bCs/>
              </w:rPr>
              <w:t xml:space="preserve">Jawatan</w:t>
            </w:r>
          </w:p>
        </w:tc>
        <w:tc>
          <w:tcPr>
            <w:tcW w:type="dxa" w:w="6226"/>
            <w:tcBorders>
              <w:top w:val="none" w:color="FFFFFF" w:sz="0"/>
              <w:left w:val="none" w:color="FFFFFF" w:sz="0"/>
              <w:bottom w:val="none" w:color="FFFFFF" w:sz="0"/>
              <w:right w:val="none" w:color="FFFFFF" w:sz="0"/>
            </w:tcBorders>
          </w:tcPr>
          <w:p>
            <w:pPr>
              <w:spacing w:after="80"/>
            </w:pPr>
            <w:r>
              <w:t xml:space="preserve">: Pensyarah Akademik</w:t>
            </w:r>
          </w:p>
        </w:tc>
      </w:tr>
      <w:tr>
        <w:tc>
          <w:tcPr>
            <w:tcW w:type="dxa" w:w="2800"/>
            <w:tcBorders>
              <w:top w:val="none" w:color="FFFFFF" w:sz="0"/>
              <w:left w:val="none" w:color="FFFFFF" w:sz="0"/>
              <w:bottom w:val="none" w:color="FFFFFF" w:sz="0"/>
              <w:right w:val="none" w:color="FFFFFF" w:sz="0"/>
            </w:tcBorders>
          </w:tcPr>
          <w:p>
            <w:pPr>
              <w:spacing w:after="80"/>
            </w:pPr>
            <w:r>
              <w:rPr>
                <w:b/>
                <w:bCs/>
              </w:rPr>
              <w:t xml:space="preserve">Gred</w:t>
            </w:r>
          </w:p>
        </w:tc>
        <w:tc>
          <w:tcPr>
            <w:tcW w:type="dxa" w:w="6226"/>
            <w:tcBorders>
              <w:top w:val="none" w:color="FFFFFF" w:sz="0"/>
              <w:left w:val="none" w:color="FFFFFF" w:sz="0"/>
              <w:bottom w:val="none" w:color="FFFFFF" w:sz="0"/>
              <w:right w:val="none" w:color="FFFFFF" w:sz="0"/>
            </w:tcBorders>
          </w:tcPr>
          <w:p>
            <w:pPr>
              <w:spacing w:after="80"/>
            </w:pPr>
            <w:r>
              <w:t xml:space="preserve">: DG 12</w:t>
            </w:r>
          </w:p>
        </w:tc>
      </w:tr>
      <w:tr>
        <w:tc>
          <w:tcPr>
            <w:tcW w:type="dxa" w:w="2800"/>
            <w:tcBorders>
              <w:top w:val="none" w:color="FFFFFF" w:sz="0"/>
              <w:left w:val="none" w:color="FFFFFF" w:sz="0"/>
              <w:bottom w:val="none" w:color="FFFFFF" w:sz="0"/>
              <w:right w:val="none" w:color="FFFFFF" w:sz="0"/>
            </w:tcBorders>
          </w:tcPr>
          <w:p>
            <w:pPr>
              <w:spacing w:after="80"/>
            </w:pPr>
            <w:r>
              <w:rPr>
                <w:b/>
                <w:bCs/>
              </w:rPr>
              <w:t xml:space="preserve">Kementerian</w:t>
            </w:r>
          </w:p>
        </w:tc>
        <w:tc>
          <w:tcPr>
            <w:tcW w:type="dxa" w:w="6226"/>
            <w:tcBorders>
              <w:top w:val="none" w:color="FFFFFF" w:sz="0"/>
              <w:left w:val="none" w:color="FFFFFF" w:sz="0"/>
              <w:bottom w:val="none" w:color="FFFFFF" w:sz="0"/>
              <w:right w:val="none" w:color="FFFFFF" w:sz="0"/>
            </w:tcBorders>
          </w:tcPr>
          <w:p>
            <w:pPr>
              <w:spacing w:after="80"/>
            </w:pPr>
            <w:r>
              <w:t xml:space="preserve">: Kementerian Pendidikan Malaysia, Institut Pendidikan Guru Malaysia (IPG Kampus Gaya, Sabah)</w:t>
            </w:r>
          </w:p>
        </w:tc>
      </w:tr>
    </w:tbl>
    <w:p>
      <w:pPr>
        <w:pStyle w:val="Heading1"/>
        <w:spacing w:after="140" w:before="280"/>
      </w:pPr>
      <w:r>
        <w:t xml:space="preserve">B. BUTIR-BUTIR KURSUS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80"/>
            </w:pPr>
            <w:r>
              <w:rPr>
                <w:b/>
                <w:bCs/>
              </w:rPr>
              <w:t xml:space="preserve">Tajuk Kursus</w:t>
            </w:r>
          </w:p>
        </w:tc>
        <w:tc>
          <w:tcPr>
            <w:tcW w:type="dxa" w:w="6226"/>
            <w:tcBorders>
              <w:top w:val="none" w:color="FFFFFF" w:sz="0"/>
              <w:left w:val="none" w:color="FFFFFF" w:sz="0"/>
              <w:bottom w:val="none" w:color="FFFFFF" w:sz="0"/>
              <w:right w:val="none" w:color="FFFFFF" w:sz="0"/>
            </w:tcBorders>
          </w:tcPr>
          <w:p>
            <w:pPr>
              <w:spacing w:after="80"/>
            </w:pPr>
            <w:r>
              <w:t xml:space="preserve">: Program Pembangunan Kepakaran dan Perunding Kerajaan (PRESTIJ) Tahun 2026: Agentic AI for Educationists – Designing Autonomous AI Systems for Future Ready Teaching &amp; Learning</w:t>
            </w:r>
          </w:p>
        </w:tc>
      </w:tr>
      <w:tr>
        <w:tc>
          <w:tcPr>
            <w:tcW w:type="dxa" w:w="2800"/>
            <w:tcBorders>
              <w:top w:val="none" w:color="FFFFFF" w:sz="0"/>
              <w:left w:val="none" w:color="FFFFFF" w:sz="0"/>
              <w:bottom w:val="none" w:color="FFFFFF" w:sz="0"/>
              <w:right w:val="none" w:color="FFFFFF" w:sz="0"/>
            </w:tcBorders>
          </w:tcPr>
          <w:p>
            <w:pPr>
              <w:spacing w:after="80"/>
            </w:pPr>
            <w:r>
              <w:rPr>
                <w:b/>
                <w:bCs/>
              </w:rPr>
              <w:t xml:space="preserve">Tarikh</w:t>
            </w:r>
          </w:p>
        </w:tc>
        <w:tc>
          <w:tcPr>
            <w:tcW w:type="dxa" w:w="6226"/>
            <w:tcBorders>
              <w:top w:val="none" w:color="FFFFFF" w:sz="0"/>
              <w:left w:val="none" w:color="FFFFFF" w:sz="0"/>
              <w:bottom w:val="none" w:color="FFFFFF" w:sz="0"/>
              <w:right w:val="none" w:color="FFFFFF" w:sz="0"/>
            </w:tcBorders>
          </w:tcPr>
          <w:p>
            <w:pPr>
              <w:spacing w:after="80"/>
            </w:pPr>
            <w:r>
              <w:t xml:space="preserve">: 9 Jun 2026 – 9 Oktober 2026</w:t>
            </w:r>
          </w:p>
        </w:tc>
      </w:tr>
      <w:tr>
        <w:tc>
          <w:tcPr>
            <w:tcW w:type="dxa" w:w="2800"/>
            <w:tcBorders>
              <w:top w:val="none" w:color="FFFFFF" w:sz="0"/>
              <w:left w:val="none" w:color="FFFFFF" w:sz="0"/>
              <w:bottom w:val="none" w:color="FFFFFF" w:sz="0"/>
              <w:right w:val="none" w:color="FFFFFF" w:sz="0"/>
            </w:tcBorders>
          </w:tcPr>
          <w:p>
            <w:pPr>
              <w:spacing w:after="80"/>
            </w:pPr>
            <w:r>
              <w:rPr>
                <w:b/>
                <w:bCs/>
              </w:rPr>
              <w:t xml:space="preserve">Tempoh Kursus</w:t>
            </w:r>
          </w:p>
        </w:tc>
        <w:tc>
          <w:tcPr>
            <w:tcW w:type="dxa" w:w="6226"/>
            <w:tcBorders>
              <w:top w:val="none" w:color="FFFFFF" w:sz="0"/>
              <w:left w:val="none" w:color="FFFFFF" w:sz="0"/>
              <w:bottom w:val="none" w:color="FFFFFF" w:sz="0"/>
              <w:right w:val="none" w:color="FFFFFF" w:sz="0"/>
            </w:tcBorders>
          </w:tcPr>
          <w:p>
            <w:pPr>
              <w:spacing w:after="80"/>
            </w:pPr>
            <w:r>
              <w:t xml:space="preserve">: 4 bulan</w:t>
            </w:r>
          </w:p>
        </w:tc>
      </w:tr>
      <w:tr>
        <w:tc>
          <w:tcPr>
            <w:tcW w:type="dxa" w:w="2800"/>
            <w:tcBorders>
              <w:top w:val="none" w:color="FFFFFF" w:sz="0"/>
              <w:left w:val="none" w:color="FFFFFF" w:sz="0"/>
              <w:bottom w:val="none" w:color="FFFFFF" w:sz="0"/>
              <w:right w:val="none" w:color="FFFFFF" w:sz="0"/>
            </w:tcBorders>
          </w:tcPr>
          <w:p>
            <w:pPr>
              <w:spacing w:after="80"/>
            </w:pPr>
            <w:r>
              <w:rPr>
                <w:b/>
                <w:bCs/>
              </w:rPr>
              <w:t xml:space="preserve">Tempat Kursus</w:t>
            </w:r>
          </w:p>
        </w:tc>
        <w:tc>
          <w:tcPr>
            <w:tcW w:type="dxa" w:w="6226"/>
            <w:tcBorders>
              <w:top w:val="none" w:color="FFFFFF" w:sz="0"/>
              <w:left w:val="none" w:color="FFFFFF" w:sz="0"/>
              <w:bottom w:val="none" w:color="FFFFFF" w:sz="0"/>
              <w:right w:val="none" w:color="FFFFFF" w:sz="0"/>
            </w:tcBorders>
          </w:tcPr>
          <w:p>
            <w:pPr>
              <w:spacing w:after="80"/>
            </w:pPr>
            <w:r>
              <w:t xml:space="preserve">: Iconic Marjorie Hotel, Pulau Pinang; HCL Technologies, Chennai, India; dan Møller Institute, Churchill College, Cambridge, United Kingdom</w:t>
            </w:r>
          </w:p>
        </w:tc>
      </w:tr>
      <w:tr>
        <w:tc>
          <w:tcPr>
            <w:tcW w:type="dxa" w:w="2800"/>
            <w:tcBorders>
              <w:top w:val="none" w:color="FFFFFF" w:sz="0"/>
              <w:left w:val="none" w:color="FFFFFF" w:sz="0"/>
              <w:bottom w:val="none" w:color="FFFFFF" w:sz="0"/>
              <w:right w:val="none" w:color="FFFFFF" w:sz="0"/>
            </w:tcBorders>
          </w:tcPr>
          <w:p>
            <w:pPr>
              <w:spacing w:after="80"/>
            </w:pPr>
            <w:r>
              <w:rPr>
                <w:b/>
                <w:bCs/>
              </w:rPr>
              <w:t xml:space="preserve">Penyedia / Institusi Latihan</w:t>
            </w:r>
          </w:p>
        </w:tc>
        <w:tc>
          <w:tcPr>
            <w:tcW w:type="dxa" w:w="6226"/>
            <w:tcBorders>
              <w:top w:val="none" w:color="FFFFFF" w:sz="0"/>
              <w:left w:val="none" w:color="FFFFFF" w:sz="0"/>
              <w:bottom w:val="none" w:color="FFFFFF" w:sz="0"/>
              <w:right w:val="none" w:color="FFFFFF" w:sz="0"/>
            </w:tcBorders>
          </w:tcPr>
          <w:p>
            <w:pPr>
              <w:spacing w:after="80"/>
            </w:pPr>
            <w:r>
              <w:t xml:space="preserve">: Universiti Tun Abdul Razak (UNIRAZAK), Intelli Education Group Sdn Bhd (IEG), HCL Technologies dan Møller Institute</w:t>
            </w:r>
          </w:p>
        </w:tc>
      </w:tr>
    </w:tbl>
    <w:p>
      <w:pPr>
        <w:pStyle w:val="Heading1"/>
        <w:spacing w:after="140" w:before="280"/>
      </w:pPr>
      <w:r>
        <w:t xml:space="preserve">C. RINGKASAN EKSEKUTIF</w:t>
      </w:r>
    </w:p>
    <w:p>
      <w:pPr>
        <w:pStyle w:val="Heading2"/>
        <w:spacing w:after="100" w:before="180"/>
      </w:pPr>
      <w:r>
        <w:t xml:space="preserve">Ringkasan pelaksanaan kursus</w:t>
      </w:r>
    </w:p>
    <w:p>
      <w:pPr>
        <w:spacing w:after="120" w:line="300"/>
        <w:jc w:val="both"/>
      </w:pPr>
      <w:r>
        <w:t xml:space="preserve">Program PRESTIJ 2026 bertema Agentic AI for Educationists telah dilaksanakan selama empat bulan, dari 9 Jun hingga 9 Oktober 2026, secara berfasa di tiga lokasi: Pulau Pinang, Chennai (HCL Technologies) dan Cambridge (Møller Institute). Program ini menggabungkan kuliah, bengkel, lawatan industri, pembelajaran kendiri dan pembangunan projek sebenar. Setiap peserta dikehendaki membina sistem AI yang boleh digunakan dalam pendidikan dan membentangkannya dalam sesi showcase.</w:t>
      </w:r>
    </w:p>
    <w:p>
      <w:pPr>
        <w:pStyle w:val="Heading2"/>
        <w:spacing w:after="100" w:before="180"/>
      </w:pPr>
      <w:r>
        <w:t xml:space="preserve">Ringkasan objektif dan outcome projek</w:t>
      </w:r>
    </w:p>
    <w:p>
      <w:pPr>
        <w:spacing w:after="120" w:line="300"/>
        <w:jc w:val="both"/>
      </w:pPr>
      <w:r>
        <w:t xml:space="preserve">Outcome utama penulis ialah </w:t>
      </w:r>
      <w:r>
        <w:rPr>
          <w:b/>
          <w:bCs/>
        </w:rPr>
        <w:t xml:space="preserve">KuasaPrestij</w:t>
      </w:r>
      <w:r>
        <w:t xml:space="preserve">, sebuah platform penilaian adaptif berasaskan AI agentik untuk murid sekolah menengah (KSSM Tingkatan 4 dan 5, persediaan SPM). Platform ini telah dibangunkan sepenuhnya dan sedang beroperasi dalam talian. Ia menggunakan beberapa ejen AI yang bekerjasama: mencari kandungan DSKP, menjana soalan mengikut aras KBAT, menyemak jawapan murid, mengenal pasti punca kesilapan dan mengemas kini tahap penguasaan setiap topik.</w:t>
      </w:r>
    </w:p>
    <w:p>
      <w:pPr>
        <w:spacing w:after="120" w:line="300"/>
        <w:jc w:val="both"/>
      </w:pPr>
      <w:r>
        <w:t xml:space="preserve">Prinsip reka bentuknya ialah </w:t>
      </w:r>
      <w:r>
        <w:rPr>
          <w:b/>
          <w:bCs/>
        </w:rPr>
        <w:t xml:space="preserve">“tingkatkan peranan guru, bukan dialog mesin”</w:t>
      </w:r>
      <w:r>
        <w:t xml:space="preserve">. Apabila murid gagal berulang kali pada topik yang sama, sistem tidak terus menyoal murid. Sistem menyediakan skrip intervensi untuk guru dan memaklumkan guru, supaya guru yang menjalankan bimbingan. Data pembelajaran disimpan dalam pangkalan data yang dikawal oleh pemilik sistem dan boleh dipindahkan ke infrastruktur KPM.</w:t>
      </w:r>
    </w:p>
    <w:p>
      <w:pPr>
        <w:pStyle w:val="Heading1"/>
        <w:spacing w:after="140" w:before="280"/>
      </w:pPr>
      <w:r>
        <w:t xml:space="preserve">D. PENGENALAN</w:t>
      </w:r>
    </w:p>
    <w:p>
      <w:pPr>
        <w:pStyle w:val="Heading2"/>
        <w:spacing w:after="100" w:before="180"/>
      </w:pPr>
      <w:r>
        <w:t xml:space="preserve">Latar belakang dan konteks kursus</w:t>
      </w:r>
    </w:p>
    <w:p>
      <w:pPr>
        <w:spacing w:after="120" w:line="300"/>
        <w:jc w:val="both"/>
      </w:pPr>
      <w:r>
        <w:t xml:space="preserve">Dasar Pendidikan Digital (2023), Pelan Pembangunan Pendidikan Malaysia 2013–2025 dan Peta Hala Tuju AI Kebangsaan 2021–2025 menekankan literasi digital dan penggunaan teknologi dalam pengajaran dan pembelajaran. Pada masa yang sama, keputusan SPM menunjukkan jurang pencapaian yang ketara, terutamanya dalam Matematik, dengan kira-kira 23% calon gagal subjek tersebut dalam kohort terkini.</w:t>
      </w:r>
    </w:p>
    <w:p>
      <w:pPr>
        <w:spacing w:after="120" w:line="300"/>
        <w:jc w:val="both"/>
      </w:pPr>
      <w:r>
        <w:t xml:space="preserve">AI generatif telah berkembang daripada alat sembang kepada </w:t>
      </w:r>
      <w:r>
        <w:rPr>
          <w:b/>
          <w:bCs/>
        </w:rPr>
        <w:t xml:space="preserve">AI agentik</w:t>
      </w:r>
      <w:r>
        <w:t xml:space="preserve">, iaitu sistem yang boleh merancang, menggunakan alat, membuat keputusan dalam langkah-langkah tertentu dan bekerjasama dengan ejen lain. Program PRESTIJ ini bertujuan melahirkan pegawai pendidikan yang bukan sahaja menggunakan AI, tetapi mampu mereka bentuk, membina, menilai dan mengurus sistem AI agentik secara bertanggungjawab untuk keperluan Kementerian.</w:t>
      </w:r>
    </w:p>
    <w:p>
      <w:pPr>
        <w:spacing w:after="120" w:line="300"/>
        <w:jc w:val="both"/>
      </w:pPr>
      <w:r>
        <w:t xml:space="preserve">Sebagai pensyarah di Institut Pendidikan Guru, penulis menyertai program ini untuk membina kepakaran dalam reka bentuk sistem AI pendidikan dan memindahkan kepakaran itu kepada guru pelatih, guru dalam perkhidmatan dan pembuat dasar.</w:t>
      </w:r>
    </w:p>
    <w:p>
      <w:pPr>
        <w:pStyle w:val="Heading1"/>
        <w:spacing w:after="140" w:before="280"/>
      </w:pPr>
      <w:r>
        <w:t xml:space="preserve">E. MODUL KURSUS</w:t>
      </w:r>
    </w:p>
    <w:p>
      <w:pPr>
        <w:pStyle w:val="Heading2"/>
        <w:spacing w:after="100" w:before="180"/>
      </w:pPr>
      <w:r>
        <w:t xml:space="preserve">Jadual kursus dan tajuk/sub-tajuk yang diikuti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3"/>
        <w:gridCol w:w="2292"/>
        <w:gridCol w:w="4871"/>
      </w:tblGrid>
      <w:tr>
        <w:trPr>
          <w:tblHeader/>
        </w:trPr>
        <w:tc>
          <w:tcPr>
            <w:tcW w:type="dxa" w:w="1863"/>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Fasa / Tarikh</w:t>
            </w:r>
          </w:p>
        </w:tc>
        <w:tc>
          <w:tcPr>
            <w:tcW w:type="dxa" w:w="2292"/>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Lokasi &amp; penyedia</w:t>
            </w:r>
          </w:p>
        </w:tc>
        <w:tc>
          <w:tcPr>
            <w:tcW w:type="dxa" w:w="4871"/>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Tajuk dan sub-tajuk</w:t>
            </w:r>
          </w:p>
        </w:tc>
      </w:tr>
      <w:tr>
        <w:trPr>
          <w:tblHeader w:val="off"/>
        </w:trPr>
        <w:tc>
          <w:tcPr>
            <w:tcW w:type="dxa" w:w="186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Fasa 1</w:t>
            </w:r>
          </w:p>
          <w:p>
            <w:pPr>
              <w:spacing w:after="40"/>
            </w:pPr>
            <w:r>
              <w:rPr>
                <w:sz w:val="19"/>
                <w:szCs w:val="19"/>
                <w:highlight w:val="yellow"/>
              </w:rPr>
              <w:t xml:space="preserve">[Jun 2026]</w:t>
            </w:r>
          </w:p>
        </w:tc>
        <w:tc>
          <w:tcPr>
            <w:tcW w:type="dxa" w:w="2292"/>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Iconic Marjorie Hotel, Pulau Pinang</w:t>
            </w:r>
          </w:p>
          <w:p>
            <w:pPr>
              <w:spacing w:after="40"/>
            </w:pPr>
            <w:r>
              <w:rPr>
                <w:sz w:val="19"/>
                <w:szCs w:val="19"/>
              </w:rPr>
              <w:t xml:space="preserve">UNIRAZAK &amp; IEG</w:t>
            </w:r>
          </w:p>
        </w:tc>
        <w:tc>
          <w:tcPr>
            <w:tcW w:type="dxa" w:w="4871"/>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Asas AI generatif dan AI agentik; kejuruteraan prompt; model bahasa besar (LLM) dan hadnya; etika, privasi dan tadbir urus AI dalam pendidikan; pengenalan projek individu</w:t>
            </w:r>
          </w:p>
        </w:tc>
      </w:tr>
      <w:tr>
        <w:trPr>
          <w:tblHeader w:val="off"/>
        </w:trPr>
        <w:tc>
          <w:tcPr>
            <w:tcW w:type="dxa" w:w="186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Fasa 2</w:t>
            </w:r>
          </w:p>
          <w:p>
            <w:pPr>
              <w:spacing w:after="40"/>
            </w:pPr>
            <w:r>
              <w:rPr>
                <w:sz w:val="19"/>
                <w:szCs w:val="19"/>
                <w:highlight w:val="yellow"/>
              </w:rPr>
              <w:t xml:space="preserve">[tarikh]</w:t>
            </w:r>
          </w:p>
        </w:tc>
        <w:tc>
          <w:tcPr>
            <w:tcW w:type="dxa" w:w="2292"/>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HCL Technologies, Chennai</w:t>
            </w:r>
          </w:p>
        </w:tc>
        <w:tc>
          <w:tcPr>
            <w:tcW w:type="dxa" w:w="4871"/>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AI dalam industri: seni bina sistem berbilang ejen; Retrieval-Augmented Generation (RAG) dan pangkalan data vektor; pengkomputeran awan dan pelaksanaan (deployment); keselamatan dan kebolehskalaan sistem</w:t>
            </w:r>
          </w:p>
        </w:tc>
      </w:tr>
      <w:tr>
        <w:trPr>
          <w:tblHeader w:val="off"/>
        </w:trPr>
        <w:tc>
          <w:tcPr>
            <w:tcW w:type="dxa" w:w="186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Fasa 3</w:t>
            </w:r>
          </w:p>
          <w:p>
            <w:pPr>
              <w:spacing w:after="40"/>
            </w:pPr>
            <w:r>
              <w:rPr>
                <w:sz w:val="19"/>
                <w:szCs w:val="19"/>
                <w:highlight w:val="yellow"/>
              </w:rPr>
              <w:t xml:space="preserve">[Ogos – Sept 2026]</w:t>
            </w:r>
          </w:p>
        </w:tc>
        <w:tc>
          <w:tcPr>
            <w:tcW w:type="dxa" w:w="2292"/>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Møller Institute, Churchill College, Cambridge</w:t>
            </w:r>
          </w:p>
        </w:tc>
        <w:tc>
          <w:tcPr>
            <w:tcW w:type="dxa" w:w="4871"/>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Kepimpinan dan inovasi pendidikan; penilaian kesan dan kualiti dialog AI (rangka kerja SEDA); dasar dan tadbir urus AI; perkongsian bersama pakar akademik</w:t>
            </w:r>
          </w:p>
        </w:tc>
      </w:tr>
      <w:tr>
        <w:trPr>
          <w:tblHeader w:val="off"/>
        </w:trPr>
        <w:tc>
          <w:tcPr>
            <w:tcW w:type="dxa" w:w="186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Fasa 4</w:t>
            </w:r>
          </w:p>
          <w:p>
            <w:pPr>
              <w:spacing w:after="40"/>
            </w:pPr>
            <w:r>
              <w:rPr>
                <w:sz w:val="19"/>
                <w:szCs w:val="19"/>
                <w:highlight w:val="yellow"/>
              </w:rPr>
              <w:t xml:space="preserve">[Sept – 9 Okt 2026]</w:t>
            </w:r>
          </w:p>
        </w:tc>
        <w:tc>
          <w:tcPr>
            <w:tcW w:type="dxa" w:w="2292"/>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highlight w:val="yellow"/>
              </w:rPr>
              <w:t xml:space="preserve">[Lokasi]</w:t>
            </w:r>
          </w:p>
        </w:tc>
        <w:tc>
          <w:tcPr>
            <w:tcW w:type="dxa" w:w="4871"/>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Pembangunan dan pengujian projek, pemurnian, dan showcase akhir</w:t>
            </w:r>
          </w:p>
        </w:tc>
      </w:tr>
    </w:tbl>
    <w:p>
      <w:pPr>
        <w:spacing w:after="120" w:before="80"/>
        <w:jc w:val="both"/>
      </w:pPr>
      <w:r>
        <w:rPr>
          <w:highlight w:val="yellow"/>
        </w:rPr>
        <w:t xml:space="preserve">[Nota: sila sahkan tarikh setiap fasa dan tajuk sesi mengikut jadual rasmi penyedia.]</w:t>
      </w:r>
    </w:p>
    <w:p>
      <w:pPr>
        <w:pStyle w:val="Heading2"/>
        <w:spacing w:after="100" w:before="180"/>
      </w:pPr>
      <w:r>
        <w:t xml:space="preserve">Perincian sesi dan aktiviti</w:t>
      </w:r>
    </w:p>
    <w:p>
      <w:pPr>
        <w:pStyle w:val="ListParagraph"/>
        <w:numPr>
          <w:ilvl w:val="0"/>
          <w:numId w:val="2"/>
        </w:numPr>
        <w:spacing w:after="60" w:line="288"/>
      </w:pPr>
      <w:r>
        <w:rPr>
          <w:b/>
          <w:bCs/>
        </w:rPr>
        <w:t xml:space="preserve">Kuliah dan bengkel teknikal:</w:t>
      </w:r>
      <w:r>
        <w:t xml:space="preserve"> membina ejen AI menggunakan rangka kerja seperti LangGraph, menyambung LLM kepada pangkalan data dan alat luaran, serta menulis prompt sistem yang boleh dipercayai.</w:t>
      </w:r>
    </w:p>
    <w:p>
      <w:pPr>
        <w:pStyle w:val="ListParagraph"/>
        <w:numPr>
          <w:ilvl w:val="0"/>
          <w:numId w:val="2"/>
        </w:numPr>
        <w:spacing w:after="60" w:line="288"/>
      </w:pPr>
      <w:r>
        <w:rPr>
          <w:b/>
          <w:bCs/>
        </w:rPr>
        <w:t xml:space="preserve">Lawatan dan sesi industri (HCL Technologies):</w:t>
      </w:r>
      <w:r>
        <w:t xml:space="preserve"> melihat cara syarikat teknologi membina, menguji dan menyelenggara sistem AI berskala besar, termasuk aspek kos, keselamatan dan pemantauan.</w:t>
      </w:r>
    </w:p>
    <w:p>
      <w:pPr>
        <w:pStyle w:val="ListParagraph"/>
        <w:numPr>
          <w:ilvl w:val="0"/>
          <w:numId w:val="2"/>
        </w:numPr>
        <w:spacing w:after="60" w:line="288"/>
      </w:pPr>
      <w:r>
        <w:rPr>
          <w:b/>
          <w:bCs/>
        </w:rPr>
        <w:t xml:space="preserve">Sesi akademik (Møller Institute, Cambridge):</w:t>
      </w:r>
      <w:r>
        <w:t xml:space="preserve"> perbincangan bersama penyelidik tentang pedagogi dialog, penilaian kualiti interaksi AI–murid, dan implikasi dasar.</w:t>
      </w:r>
    </w:p>
    <w:p>
      <w:pPr>
        <w:pStyle w:val="ListParagraph"/>
        <w:numPr>
          <w:ilvl w:val="0"/>
          <w:numId w:val="2"/>
        </w:numPr>
        <w:spacing w:after="60" w:line="288"/>
      </w:pPr>
      <w:r>
        <w:rPr>
          <w:b/>
          <w:bCs/>
        </w:rPr>
        <w:t xml:space="preserve">Pembangunan projek individu:</w:t>
      </w:r>
      <w:r>
        <w:t xml:space="preserve"> setiap peserta membina prototaip sistem AI agentik untuk konteks pendidikan masing-masing, dengan bimbingan mentor.</w:t>
      </w:r>
    </w:p>
    <w:p>
      <w:pPr>
        <w:pStyle w:val="ListParagraph"/>
        <w:numPr>
          <w:ilvl w:val="0"/>
          <w:numId w:val="2"/>
        </w:numPr>
        <w:spacing w:after="60" w:line="288"/>
      </w:pPr>
      <w:r>
        <w:rPr>
          <w:b/>
          <w:bCs/>
        </w:rPr>
        <w:t xml:space="preserve">Showcase dan pembentangan:</w:t>
      </w:r>
      <w:r>
        <w:t xml:space="preserve"> demonstrasi sistem secara langsung kepada panel, rakan peserta dan pihak berkepentingan.</w:t>
      </w:r>
    </w:p>
    <w:p>
      <w:pPr>
        <w:pStyle w:val="Heading1"/>
        <w:spacing w:after="140" w:before="280"/>
      </w:pPr>
      <w:r>
        <w:t xml:space="preserve">F. METODOLOGI KURSUS</w:t>
      </w:r>
    </w:p>
    <w:p>
      <w:pPr>
        <w:pStyle w:val="Heading2"/>
        <w:spacing w:after="100" w:before="180"/>
      </w:pPr>
      <w:r>
        <w:t xml:space="preserve">Kaedah pengajaran dan teknik yang digunakan</w:t>
      </w:r>
    </w:p>
    <w:p>
      <w:pPr>
        <w:pStyle w:val="ListParagraph"/>
        <w:numPr>
          <w:ilvl w:val="0"/>
          <w:numId w:val="2"/>
        </w:numPr>
        <w:spacing w:after="60" w:line="288"/>
      </w:pPr>
      <w:r>
        <w:rPr>
          <w:b/>
          <w:bCs/>
        </w:rPr>
        <w:t xml:space="preserve">Perbincangan berkumpulan:</w:t>
      </w:r>
      <w:r>
        <w:t xml:space="preserve"> peserta dari pelbagai bahagian KPM berkongsi masalah sebenar di sekolah dan IPG, lalu mereka bentuk penyelesaian bersama.</w:t>
      </w:r>
    </w:p>
    <w:p>
      <w:pPr>
        <w:pStyle w:val="ListParagraph"/>
        <w:numPr>
          <w:ilvl w:val="0"/>
          <w:numId w:val="2"/>
        </w:numPr>
        <w:spacing w:after="60" w:line="288"/>
      </w:pPr>
      <w:r>
        <w:rPr>
          <w:b/>
          <w:bCs/>
        </w:rPr>
        <w:t xml:space="preserve">Projek showcase:</w:t>
      </w:r>
      <w:r>
        <w:t xml:space="preserve"> setiap peserta membina dan mempamerkan sistem yang berfungsi, bukan sekadar kertas cadangan.</w:t>
      </w:r>
    </w:p>
    <w:p>
      <w:pPr>
        <w:pStyle w:val="ListParagraph"/>
        <w:numPr>
          <w:ilvl w:val="0"/>
          <w:numId w:val="2"/>
        </w:numPr>
        <w:spacing w:after="60" w:line="288"/>
      </w:pPr>
      <w:r>
        <w:rPr>
          <w:b/>
          <w:bCs/>
        </w:rPr>
        <w:t xml:space="preserve">Kuliah:</w:t>
      </w:r>
      <w:r>
        <w:t xml:space="preserve"> pengenalan konsep oleh pakar akademik dan industri.</w:t>
      </w:r>
    </w:p>
    <w:p>
      <w:pPr>
        <w:pStyle w:val="ListParagraph"/>
        <w:numPr>
          <w:ilvl w:val="0"/>
          <w:numId w:val="2"/>
        </w:numPr>
        <w:spacing w:after="60" w:line="288"/>
      </w:pPr>
      <w:r>
        <w:rPr>
          <w:b/>
          <w:bCs/>
        </w:rPr>
        <w:t xml:space="preserve">Pembelajaran kendiri:</w:t>
      </w:r>
      <w:r>
        <w:t xml:space="preserve"> peserta membaca, menguji alat AI dan membangunkan projek di luar waktu sesi.</w:t>
      </w:r>
    </w:p>
    <w:p>
      <w:pPr>
        <w:pStyle w:val="ListParagraph"/>
        <w:numPr>
          <w:ilvl w:val="0"/>
          <w:numId w:val="2"/>
        </w:numPr>
        <w:spacing w:after="60" w:line="288"/>
      </w:pPr>
      <w:r>
        <w:rPr>
          <w:b/>
          <w:bCs/>
        </w:rPr>
        <w:t xml:space="preserve">Pembentangan:</w:t>
      </w:r>
      <w:r>
        <w:t xml:space="preserve"> pembentangan berkala tentang kemajuan projek untuk mendapatkan maklum balas.</w:t>
      </w:r>
    </w:p>
    <w:p>
      <w:pPr>
        <w:pStyle w:val="ListParagraph"/>
        <w:numPr>
          <w:ilvl w:val="0"/>
          <w:numId w:val="2"/>
        </w:numPr>
        <w:spacing w:after="60" w:line="288"/>
      </w:pPr>
      <w:r>
        <w:rPr>
          <w:b/>
          <w:bCs/>
        </w:rPr>
        <w:t xml:space="preserve">Kuiz:</w:t>
      </w:r>
      <w:r>
        <w:t xml:space="preserve"> penilaian kefahaman konsep secara berkala.</w:t>
      </w:r>
    </w:p>
    <w:p>
      <w:pPr>
        <w:pStyle w:val="Heading1"/>
        <w:spacing w:after="140" w:before="280"/>
      </w:pPr>
      <w:r>
        <w:t xml:space="preserve">G. FAEDAH KURSUS YANG DIPEROLEHI</w:t>
      </w:r>
    </w:p>
    <w:p>
      <w:pPr>
        <w:pStyle w:val="Heading2"/>
        <w:spacing w:after="100" w:before="180"/>
      </w:pPr>
      <w:r>
        <w:t xml:space="preserve">Berkaitan dengan fungsi Kementerian</w:t>
      </w:r>
    </w:p>
    <w:p>
      <w:pPr>
        <w:pStyle w:val="ListParagraph"/>
        <w:numPr>
          <w:ilvl w:val="0"/>
          <w:numId w:val="2"/>
        </w:numPr>
        <w:spacing w:after="60" w:line="288"/>
      </w:pPr>
      <w:r>
        <w:rPr>
          <w:b/>
          <w:bCs/>
        </w:rPr>
        <w:t xml:space="preserve">Satu platform sehenti (one-stop centre)</w:t>
      </w:r>
      <w:r>
        <w:t xml:space="preserve"> untuk guru dan murid: latihan adaptif selaras DSKP KSSM, nota, kuiz, permainan pembelajaran dan pembelajaran kendiri dalam satu sistem.</w:t>
      </w:r>
    </w:p>
    <w:p>
      <w:pPr>
        <w:pStyle w:val="ListParagraph"/>
        <w:numPr>
          <w:ilvl w:val="0"/>
          <w:numId w:val="2"/>
        </w:numPr>
        <w:spacing w:after="60" w:line="288"/>
      </w:pPr>
      <w:r>
        <w:rPr>
          <w:b/>
          <w:bCs/>
        </w:rPr>
        <w:t xml:space="preserve">Data untuk membuat keputusan:</w:t>
      </w:r>
      <w:r>
        <w:t xml:space="preserve"> setiap jawapan murid direkodkan bersama kategori kesilapan, punca dan cadangan intervensi. Pihak pengurusan dan Kementerian boleh menganalisis prestasi murid, maklum balas AI dan guru, serta proses pembelajaran mengikut topik, kelas, sekolah atau daerah.</w:t>
      </w:r>
    </w:p>
    <w:p>
      <w:pPr>
        <w:pStyle w:val="ListParagraph"/>
        <w:numPr>
          <w:ilvl w:val="0"/>
          <w:numId w:val="2"/>
        </w:numPr>
        <w:spacing w:after="60" w:line="288"/>
      </w:pPr>
      <w:r>
        <w:rPr>
          <w:b/>
          <w:bCs/>
        </w:rPr>
        <w:t xml:space="preserve">Kedaulatan data:</w:t>
      </w:r>
      <w:r>
        <w:t xml:space="preserve"> data yang dikumpul disimpan dalam pangkalan data yang dikawal sendiri dan boleh dihoskan dalam infrastruktur KPM, bukan dalam sistem syarikat lain. Sistem juga direka supaya model AI boleh ditukar tanpa mengubah data.</w:t>
      </w:r>
    </w:p>
    <w:p>
      <w:pPr>
        <w:pStyle w:val="ListParagraph"/>
        <w:numPr>
          <w:ilvl w:val="0"/>
          <w:numId w:val="2"/>
        </w:numPr>
        <w:spacing w:after="60" w:line="288"/>
      </w:pPr>
      <w:r>
        <w:rPr>
          <w:b/>
          <w:bCs/>
        </w:rPr>
        <w:t xml:space="preserve">Sokongan kepada sasaran SPM:</w:t>
      </w:r>
      <w:r>
        <w:t xml:space="preserve"> sistem mengesan murid yang berisiko lebih awal dan menyediakan bahan intervensi, selaras dengan usaha meningkatkan pencapaian SPM.</w:t>
      </w:r>
    </w:p>
    <w:p>
      <w:pPr>
        <w:pStyle w:val="ListParagraph"/>
        <w:numPr>
          <w:ilvl w:val="0"/>
          <w:numId w:val="2"/>
        </w:numPr>
        <w:spacing w:after="60" w:line="288"/>
      </w:pPr>
      <w:r>
        <w:rPr>
          <w:b/>
          <w:bCs/>
        </w:rPr>
        <w:t xml:space="preserve">Kos rendah dan boleh diskala:</w:t>
      </w:r>
      <w:r>
        <w:t xml:space="preserve"> kandungan statik dijana sekali dan disimpan, jadi kos AI berulang adalah rendah. Mod luar talian membolehkan murid di kawasan liputan internet lemah terus berlatih.</w:t>
      </w:r>
    </w:p>
    <w:p>
      <w:pPr>
        <w:pStyle w:val="Heading2"/>
        <w:spacing w:after="100" w:before="180"/>
      </w:pPr>
      <w:r>
        <w:t xml:space="preserve">Berkaitan tugas dan tanggungjawab pegawai</w:t>
      </w:r>
    </w:p>
    <w:p>
      <w:pPr>
        <w:pStyle w:val="ListParagraph"/>
        <w:numPr>
          <w:ilvl w:val="0"/>
          <w:numId w:val="2"/>
        </w:numPr>
        <w:spacing w:after="60" w:line="288"/>
      </w:pPr>
      <w:r>
        <w:t xml:space="preserve">Sebagai pensyarah IPG, penulis kini boleh </w:t>
      </w:r>
      <w:r>
        <w:rPr>
          <w:b/>
          <w:bCs/>
        </w:rPr>
        <w:t xml:space="preserve">mengajar guru pelatih</w:t>
      </w:r>
      <w:r>
        <w:t xml:space="preserve"> cara menggunakan dan menilai AI dalam PdP secara kritis, bukan sekadar sebagai pengguna.</w:t>
      </w:r>
    </w:p>
    <w:p>
      <w:pPr>
        <w:pStyle w:val="ListParagraph"/>
        <w:numPr>
          <w:ilvl w:val="0"/>
          <w:numId w:val="2"/>
        </w:numPr>
        <w:spacing w:after="60" w:line="288"/>
      </w:pPr>
      <w:r>
        <w:t xml:space="preserve">Penulis boleh </w:t>
      </w:r>
      <w:r>
        <w:rPr>
          <w:b/>
          <w:bCs/>
        </w:rPr>
        <w:t xml:space="preserve">menjadi rujukan dan perunding dalaman</w:t>
      </w:r>
      <w:r>
        <w:t xml:space="preserve"> bagi IPG dan KPM untuk projek AI pendidikan: menilai cadangan vendor, mereka bentuk spesifikasi sistem dan menilai risiko.</w:t>
      </w:r>
    </w:p>
    <w:p>
      <w:pPr>
        <w:pStyle w:val="ListParagraph"/>
        <w:numPr>
          <w:ilvl w:val="0"/>
          <w:numId w:val="2"/>
        </w:numPr>
        <w:spacing w:after="60" w:line="288"/>
      </w:pPr>
      <w:r>
        <w:t xml:space="preserve">Kepakaran dalam </w:t>
      </w:r>
      <w:r>
        <w:rPr>
          <w:b/>
          <w:bCs/>
        </w:rPr>
        <w:t xml:space="preserve">penyelidikan</w:t>
      </w:r>
      <w:r>
        <w:t xml:space="preserve"> meningkat: projek ini menghasilkan data dan kajian (contohnya audit kualiti dialog menggunakan rangka kerja SEDA) yang boleh diterbitkan dan dibentangkan.</w:t>
      </w:r>
    </w:p>
    <w:p>
      <w:pPr>
        <w:pStyle w:val="ListParagraph"/>
        <w:numPr>
          <w:ilvl w:val="0"/>
          <w:numId w:val="2"/>
        </w:numPr>
        <w:spacing w:after="60" w:line="288"/>
      </w:pPr>
      <w:r>
        <w:t xml:space="preserve">Penulis boleh </w:t>
      </w:r>
      <w:r>
        <w:rPr>
          <w:b/>
          <w:bCs/>
        </w:rPr>
        <w:t xml:space="preserve">melatih rakan pensyarah dan guru</w:t>
      </w:r>
      <w:r>
        <w:t xml:space="preserve"> melalui bengkel, kursus dalam perkhidmatan dan komuniti amalan.</w:t>
      </w:r>
    </w:p>
    <w:p>
      <w:pPr>
        <w:pStyle w:val="Heading1"/>
        <w:spacing w:after="140" w:before="280"/>
      </w:pPr>
      <w:r>
        <w:t xml:space="preserve">H. PELAN TINDAKAN (ACTION PLAN) SELEPAS KURSUS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3"/>
        <w:gridCol w:w="4298"/>
        <w:gridCol w:w="1863"/>
        <w:gridCol w:w="2292"/>
      </w:tblGrid>
      <w:tr>
        <w:trPr>
          <w:tblHeader/>
        </w:trPr>
        <w:tc>
          <w:tcPr>
            <w:tcW w:type="dxa" w:w="573"/>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Bil.</w:t>
            </w:r>
          </w:p>
        </w:tc>
        <w:tc>
          <w:tcPr>
            <w:tcW w:type="dxa" w:w="4298"/>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Tindakan</w:t>
            </w:r>
          </w:p>
        </w:tc>
        <w:tc>
          <w:tcPr>
            <w:tcW w:type="dxa" w:w="1863"/>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Tempoh</w:t>
            </w:r>
          </w:p>
        </w:tc>
        <w:tc>
          <w:tcPr>
            <w:tcW w:type="dxa" w:w="2292"/>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Petunjuk kejayaan</w:t>
            </w:r>
          </w:p>
        </w:tc>
      </w:tr>
      <w:tr>
        <w:trPr>
          <w:tblHeader w:val="off"/>
        </w:trPr>
        <w:tc>
          <w:tcPr>
            <w:tcW w:type="dxa" w:w="57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1</w:t>
            </w:r>
          </w:p>
        </w:tc>
        <w:tc>
          <w:tcPr>
            <w:tcW w:type="dxa" w:w="4298"/>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Rintis KuasaPrestij di </w:t>
            </w:r>
            <w:r>
              <w:rPr>
                <w:sz w:val="19"/>
                <w:szCs w:val="19"/>
                <w:highlight w:val="yellow"/>
              </w:rPr>
              <w:t xml:space="preserve">[bilangan]</w:t>
            </w:r>
            <w:r>
              <w:rPr>
                <w:sz w:val="19"/>
                <w:szCs w:val="19"/>
              </w:rPr>
              <w:t xml:space="preserve"> sekolah menengah di Sabah bersama guru Tingkatan 4 dan 5</w:t>
            </w:r>
          </w:p>
        </w:tc>
        <w:tc>
          <w:tcPr>
            <w:tcW w:type="dxa" w:w="186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Nov 2026 – Mac 2027</w:t>
            </w:r>
          </w:p>
        </w:tc>
        <w:tc>
          <w:tcPr>
            <w:tcW w:type="dxa" w:w="2292"/>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highlight w:val="yellow"/>
              </w:rPr>
              <w:t xml:space="preserve">[≥ 300]</w:t>
            </w:r>
            <w:r>
              <w:rPr>
                <w:sz w:val="19"/>
                <w:szCs w:val="19"/>
              </w:rPr>
              <w:t xml:space="preserve"> murid aktif; laporan penguasaan setiap kelas</w:t>
            </w:r>
          </w:p>
        </w:tc>
      </w:tr>
      <w:tr>
        <w:trPr>
          <w:tblHeader w:val="off"/>
        </w:trPr>
        <w:tc>
          <w:tcPr>
            <w:tcW w:type="dxa" w:w="57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2</w:t>
            </w:r>
          </w:p>
        </w:tc>
        <w:tc>
          <w:tcPr>
            <w:tcW w:type="dxa" w:w="4298"/>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Bengkel “Agentic AI untuk Pendidik” untuk pensyarah dan guru pelatih IPG Kampus Gaya</w:t>
            </w:r>
          </w:p>
        </w:tc>
        <w:tc>
          <w:tcPr>
            <w:tcW w:type="dxa" w:w="186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Jan – Jun 2027</w:t>
            </w:r>
          </w:p>
        </w:tc>
        <w:tc>
          <w:tcPr>
            <w:tcW w:type="dxa" w:w="2292"/>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highlight w:val="yellow"/>
              </w:rPr>
              <w:t xml:space="preserve">[2]</w:t>
            </w:r>
            <w:r>
              <w:rPr>
                <w:sz w:val="19"/>
                <w:szCs w:val="19"/>
              </w:rPr>
              <w:t xml:space="preserve"> siri bengkel; </w:t>
            </w:r>
            <w:r>
              <w:rPr>
                <w:sz w:val="19"/>
                <w:szCs w:val="19"/>
                <w:highlight w:val="yellow"/>
              </w:rPr>
              <w:t xml:space="preserve">[60]</w:t>
            </w:r>
            <w:r>
              <w:rPr>
                <w:sz w:val="19"/>
                <w:szCs w:val="19"/>
              </w:rPr>
              <w:t xml:space="preserve"> peserta</w:t>
            </w:r>
          </w:p>
        </w:tc>
      </w:tr>
      <w:tr>
        <w:trPr>
          <w:tblHeader w:val="off"/>
        </w:trPr>
        <w:tc>
          <w:tcPr>
            <w:tcW w:type="dxa" w:w="57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3</w:t>
            </w:r>
          </w:p>
        </w:tc>
        <w:tc>
          <w:tcPr>
            <w:tcW w:type="dxa" w:w="4298"/>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Memasukkan modul reka bentuk dan penilaian AI dalam kursus elektif / LDP IPG</w:t>
            </w:r>
          </w:p>
        </w:tc>
        <w:tc>
          <w:tcPr>
            <w:tcW w:type="dxa" w:w="186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Sesi 2027</w:t>
            </w:r>
          </w:p>
        </w:tc>
        <w:tc>
          <w:tcPr>
            <w:tcW w:type="dxa" w:w="2292"/>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Modul diluluskan dan dilaksanakan</w:t>
            </w:r>
          </w:p>
        </w:tc>
      </w:tr>
      <w:tr>
        <w:trPr>
          <w:tblHeader w:val="off"/>
        </w:trPr>
        <w:tc>
          <w:tcPr>
            <w:tcW w:type="dxa" w:w="57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4</w:t>
            </w:r>
          </w:p>
        </w:tc>
        <w:tc>
          <w:tcPr>
            <w:tcW w:type="dxa" w:w="4298"/>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Memindahkan pangkalan data dan pelayan ke infrastruktur KPM (kedaulatan data) dan menyediakan dokumentasi teknikal</w:t>
            </w:r>
          </w:p>
        </w:tc>
        <w:tc>
          <w:tcPr>
            <w:tcW w:type="dxa" w:w="186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2027</w:t>
            </w:r>
          </w:p>
        </w:tc>
        <w:tc>
          <w:tcPr>
            <w:tcW w:type="dxa" w:w="2292"/>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Sistem dihoskan dalam persekitaran KPM</w:t>
            </w:r>
          </w:p>
        </w:tc>
      </w:tr>
      <w:tr>
        <w:trPr>
          <w:tblHeader w:val="off"/>
        </w:trPr>
        <w:tc>
          <w:tcPr>
            <w:tcW w:type="dxa" w:w="57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5</w:t>
            </w:r>
          </w:p>
        </w:tc>
        <w:tc>
          <w:tcPr>
            <w:tcW w:type="dxa" w:w="4298"/>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Integrasi dengan Google Classroom / DELIMa untuk senarai murid dan pemindahan markah</w:t>
            </w:r>
          </w:p>
        </w:tc>
        <w:tc>
          <w:tcPr>
            <w:tcW w:type="dxa" w:w="186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2027</w:t>
            </w:r>
          </w:p>
        </w:tc>
        <w:tc>
          <w:tcPr>
            <w:tcW w:type="dxa" w:w="2292"/>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Sambungan aktif di sekolah rintis</w:t>
            </w:r>
          </w:p>
        </w:tc>
      </w:tr>
      <w:tr>
        <w:trPr>
          <w:tblHeader w:val="off"/>
        </w:trPr>
        <w:tc>
          <w:tcPr>
            <w:tcW w:type="dxa" w:w="57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6</w:t>
            </w:r>
          </w:p>
        </w:tc>
        <w:tc>
          <w:tcPr>
            <w:tcW w:type="dxa" w:w="4298"/>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Menerbitkan dapatan kajian (kualiti intervensi AI, kesan kepada penguasaan murid) dalam jurnal berindeks</w:t>
            </w:r>
          </w:p>
        </w:tc>
        <w:tc>
          <w:tcPr>
            <w:tcW w:type="dxa" w:w="186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2027</w:t>
            </w:r>
          </w:p>
        </w:tc>
        <w:tc>
          <w:tcPr>
            <w:tcW w:type="dxa" w:w="2292"/>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highlight w:val="yellow"/>
              </w:rPr>
              <w:t xml:space="preserve">[1–2]</w:t>
            </w:r>
            <w:r>
              <w:rPr>
                <w:sz w:val="19"/>
                <w:szCs w:val="19"/>
              </w:rPr>
              <w:t xml:space="preserve"> artikel diterbitkan</w:t>
            </w:r>
          </w:p>
        </w:tc>
      </w:tr>
      <w:tr>
        <w:trPr>
          <w:tblHeader w:val="off"/>
        </w:trPr>
        <w:tc>
          <w:tcPr>
            <w:tcW w:type="dxa" w:w="57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7</w:t>
            </w:r>
          </w:p>
        </w:tc>
        <w:tc>
          <w:tcPr>
            <w:tcW w:type="dxa" w:w="4298"/>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Membina model bahasa kecil (SLM) tempatan untuk kandungan KSSM rutin bagi mengurangkan kos dan kebergantungan pada pembekal luar</w:t>
            </w:r>
          </w:p>
        </w:tc>
        <w:tc>
          <w:tcPr>
            <w:tcW w:type="dxa" w:w="186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2027 – 2028</w:t>
            </w:r>
          </w:p>
        </w:tc>
        <w:tc>
          <w:tcPr>
            <w:tcW w:type="dxa" w:w="2292"/>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Model rintis berfungsi untuk penjanaan soalan rutin</w:t>
            </w:r>
          </w:p>
        </w:tc>
      </w:tr>
    </w:tbl>
    <w:p>
      <w:pPr>
        <w:pStyle w:val="Heading1"/>
        <w:spacing w:after="140" w:before="280"/>
      </w:pPr>
      <w:r>
        <w:t xml:space="preserve">I. MAKLUM BALAS PESERTA</w:t>
      </w:r>
    </w:p>
    <w:p>
      <w:pPr>
        <w:pStyle w:val="Heading2"/>
        <w:spacing w:after="100" w:before="180"/>
      </w:pPr>
      <w:r>
        <w:t xml:space="preserve">Kebaikan dan kelemahan kursus</w:t>
      </w:r>
    </w:p>
    <w:p>
      <w:pPr>
        <w:spacing w:after="120" w:line="300"/>
        <w:jc w:val="both"/>
      </w:pPr>
      <w:r>
        <w:rPr>
          <w:b/>
          <w:bCs/>
        </w:rPr>
        <w:t xml:space="preserve">Kebaikan:</w:t>
      </w:r>
    </w:p>
    <w:p>
      <w:pPr>
        <w:pStyle w:val="ListParagraph"/>
        <w:numPr>
          <w:ilvl w:val="0"/>
          <w:numId w:val="2"/>
        </w:numPr>
        <w:spacing w:after="60" w:line="288"/>
      </w:pPr>
      <w:r>
        <w:t xml:space="preserve">Pendekatan berasaskan projek memastikan peserta pulang dengan sistem yang berfungsi, bukan sekadar pengetahuan teori.</w:t>
      </w:r>
    </w:p>
    <w:p>
      <w:pPr>
        <w:pStyle w:val="ListParagraph"/>
        <w:numPr>
          <w:ilvl w:val="0"/>
          <w:numId w:val="2"/>
        </w:numPr>
        <w:spacing w:after="60" w:line="288"/>
      </w:pPr>
      <w:r>
        <w:t xml:space="preserve">Gabungan perspektif industri (HCL Technologies) dan akademik (Cambridge) memberi gambaran lengkap, daripada kejuruteraan sistem hingga pedagogi dan dasar.</w:t>
      </w:r>
    </w:p>
    <w:p>
      <w:pPr>
        <w:pStyle w:val="ListParagraph"/>
        <w:numPr>
          <w:ilvl w:val="0"/>
          <w:numId w:val="2"/>
        </w:numPr>
        <w:spacing w:after="60" w:line="288"/>
      </w:pPr>
      <w:r>
        <w:t xml:space="preserve">Tempoh empat bulan memberi masa yang cukup untuk membina, menguji dan memperbaiki projek.</w:t>
      </w:r>
    </w:p>
    <w:p>
      <w:pPr>
        <w:pStyle w:val="ListParagraph"/>
        <w:numPr>
          <w:ilvl w:val="0"/>
          <w:numId w:val="2"/>
        </w:numPr>
        <w:spacing w:after="60" w:line="288"/>
      </w:pPr>
      <w:r>
        <w:t xml:space="preserve">Jaringan profesional dengan rakan peserta, pakar industri dan ahli akademik antarabangsa.</w:t>
      </w:r>
    </w:p>
    <w:p>
      <w:pPr>
        <w:spacing w:after="120" w:line="300"/>
        <w:jc w:val="both"/>
      </w:pPr>
      <w:r>
        <w:rPr>
          <w:b/>
          <w:bCs/>
        </w:rPr>
        <w:t xml:space="preserve">Kelemahan:</w:t>
      </w:r>
    </w:p>
    <w:p>
      <w:pPr>
        <w:pStyle w:val="ListParagraph"/>
        <w:numPr>
          <w:ilvl w:val="0"/>
          <w:numId w:val="2"/>
        </w:numPr>
        <w:spacing w:after="60" w:line="288"/>
      </w:pPr>
      <w:r>
        <w:t xml:space="preserve">Tahap kemahiran teknikal peserta berbeza; sesetengah sesi terlalu teknikal bagi peserta tanpa latar pengaturcaraan, manakala yang lain terlalu asas.</w:t>
      </w:r>
    </w:p>
    <w:p>
      <w:pPr>
        <w:pStyle w:val="ListParagraph"/>
        <w:numPr>
          <w:ilvl w:val="0"/>
          <w:numId w:val="2"/>
        </w:numPr>
        <w:spacing w:after="60" w:line="288"/>
      </w:pPr>
      <w:r>
        <w:t xml:space="preserve">Akses kepada kredit API AI dan pelayan awan perlu diuruskan sendiri oleh peserta, dan ini mempengaruhi saiz projek yang boleh dibina.</w:t>
      </w:r>
    </w:p>
    <w:p>
      <w:pPr>
        <w:pStyle w:val="ListParagraph"/>
        <w:numPr>
          <w:ilvl w:val="0"/>
          <w:numId w:val="2"/>
        </w:numPr>
        <w:spacing w:after="60" w:line="288"/>
      </w:pPr>
      <w:r>
        <w:rPr>
          <w:highlight w:val="yellow"/>
        </w:rPr>
        <w:t xml:space="preserve">[Tambah kelemahan lain yang dialami, contohnya jadual yang padat atau logistik antara lokasi.]</w:t>
      </w:r>
    </w:p>
    <w:p>
      <w:pPr>
        <w:pStyle w:val="Heading2"/>
        <w:spacing w:after="100" w:before="180"/>
      </w:pPr>
      <w:r>
        <w:t xml:space="preserve">Penilaian terhadap penyedia / institusi latihan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504"/>
        <w:gridCol w:w="4513"/>
      </w:tblGrid>
      <w:tr>
        <w:trPr>
          <w:tblHeader/>
        </w:trPr>
        <w:tc>
          <w:tcPr>
            <w:tcW w:type="dxa" w:w="3009"/>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Penyedia</w:t>
            </w:r>
          </w:p>
        </w:tc>
        <w:tc>
          <w:tcPr>
            <w:tcW w:type="dxa" w:w="1504"/>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Penilaian</w:t>
            </w:r>
          </w:p>
        </w:tc>
        <w:tc>
          <w:tcPr>
            <w:tcW w:type="dxa" w:w="4513"/>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Ulasan</w:t>
            </w:r>
          </w:p>
        </w:tc>
      </w:tr>
      <w:tr>
        <w:trPr>
          <w:tblHeader w:val="off"/>
        </w:trPr>
        <w:tc>
          <w:tcPr>
            <w:tcW w:type="dxa" w:w="300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UNIRAZAK &amp; IEG</w:t>
            </w:r>
          </w:p>
        </w:tc>
        <w:tc>
          <w:tcPr>
            <w:tcW w:type="dxa" w:w="1504"/>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highlight w:val="yellow"/>
              </w:rPr>
              <w:t xml:space="preserve">[Cemerlang / Baik]</w:t>
            </w:r>
          </w:p>
        </w:tc>
        <w:tc>
          <w:tcPr>
            <w:tcW w:type="dxa" w:w="451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Penyelarasan program dan sesi asas yang tersusun; sokongan mentor sepanjang pembangunan projek</w:t>
            </w:r>
          </w:p>
        </w:tc>
      </w:tr>
      <w:tr>
        <w:trPr>
          <w:tblHeader w:val="off"/>
        </w:trPr>
        <w:tc>
          <w:tcPr>
            <w:tcW w:type="dxa" w:w="300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HCL Technologies</w:t>
            </w:r>
          </w:p>
        </w:tc>
        <w:tc>
          <w:tcPr>
            <w:tcW w:type="dxa" w:w="1504"/>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highlight w:val="yellow"/>
              </w:rPr>
              <w:t xml:space="preserve">[Cemerlang / Baik]</w:t>
            </w:r>
          </w:p>
        </w:tc>
        <w:tc>
          <w:tcPr>
            <w:tcW w:type="dxa" w:w="451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Pendedahan kepada amalan industri sebenar dalam membina dan menskala sistem AI</w:t>
            </w:r>
          </w:p>
        </w:tc>
      </w:tr>
      <w:tr>
        <w:trPr>
          <w:tblHeader w:val="off"/>
        </w:trPr>
        <w:tc>
          <w:tcPr>
            <w:tcW w:type="dxa" w:w="300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Møller Institute, Cambridge</w:t>
            </w:r>
          </w:p>
        </w:tc>
        <w:tc>
          <w:tcPr>
            <w:tcW w:type="dxa" w:w="1504"/>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highlight w:val="yellow"/>
              </w:rPr>
              <w:t xml:space="preserve">[Cemerlang / Baik]</w:t>
            </w:r>
          </w:p>
        </w:tc>
        <w:tc>
          <w:tcPr>
            <w:tcW w:type="dxa" w:w="4513"/>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Perbincangan akademik yang mendalam tentang pedagogi, penilaian dan dasar AI pendidikan</w:t>
            </w:r>
          </w:p>
        </w:tc>
      </w:tr>
    </w:tbl>
    <w:p>
      <w:pPr>
        <w:pStyle w:val="Heading1"/>
        <w:spacing w:after="140" w:before="280"/>
      </w:pPr>
      <w:r>
        <w:t xml:space="preserve">J. CABARAN DAN PENYELESAIAN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46"/>
        <w:gridCol w:w="5480"/>
      </w:tblGrid>
      <w:tr>
        <w:trPr>
          <w:tblHeader/>
        </w:trPr>
        <w:tc>
          <w:tcPr>
            <w:tcW w:type="dxa" w:w="3546"/>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Cabaran yang dihadapi</w:t>
            </w:r>
          </w:p>
        </w:tc>
        <w:tc>
          <w:tcPr>
            <w:tcW w:type="dxa" w:w="5480"/>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Penyelesaian / cadangan penambahbaikan</w:t>
            </w:r>
          </w:p>
        </w:tc>
      </w:tr>
      <w:tr>
        <w:trPr>
          <w:tblHeader w:val="off"/>
        </w:trPr>
        <w:tc>
          <w:tcPr>
            <w:tcW w:type="dxa" w:w="354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b/>
                <w:bCs/>
                <w:sz w:val="19"/>
                <w:szCs w:val="19"/>
              </w:rPr>
              <w:t xml:space="preserve">Kos dan had penggunaan LLM.</w:t>
            </w:r>
            <w:r>
              <w:rPr>
                <w:sz w:val="19"/>
                <w:szCs w:val="19"/>
              </w:rPr>
              <w:t xml:space="preserve"> Penyedia AI percuma mengenakan had kadar, dan sistem kadangkala terhenti apabila had dicapai.</w:t>
            </w:r>
          </w:p>
        </w:tc>
        <w:tc>
          <w:tcPr>
            <w:tcW w:type="dxa" w:w="5480"/>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Membina rantaian beberapa penyedia LLM yang bertukar secara automatik apabila satu penyedia sibuk. Kandungan statik (soalan asas, nota, rajah) dijana sekali dan disimpan, jadi kebanyakan soalan tidak memerlukan panggilan AI baharu.</w:t>
            </w:r>
          </w:p>
        </w:tc>
      </w:tr>
      <w:tr>
        <w:trPr>
          <w:tblHeader w:val="off"/>
        </w:trPr>
        <w:tc>
          <w:tcPr>
            <w:tcW w:type="dxa" w:w="354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b/>
                <w:bCs/>
                <w:sz w:val="19"/>
                <w:szCs w:val="19"/>
              </w:rPr>
              <w:t xml:space="preserve">Kualiti kandungan AI.</w:t>
            </w:r>
            <w:r>
              <w:rPr>
                <w:sz w:val="19"/>
                <w:szCs w:val="19"/>
              </w:rPr>
              <w:t xml:space="preserve"> Semakan oleh ejen “guru SPM” ke atas 71 soalan mendapati 43 (61%) selaras, 17 separa selaras dan 11 tidak selaras dengan format SPM dan aras KBAT. Daripada 63 maklum balas kesilapan, 27 perlu diperbaiki.</w:t>
            </w:r>
          </w:p>
        </w:tc>
        <w:tc>
          <w:tcPr>
            <w:tcW w:type="dxa" w:w="5480"/>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Menambah semakan automatik (soalan mesti ada 4 pilihan jawapan sebenar, tiada pendua, jenis soalan betul) dan menulis semula prompt maklum balas supaya ringkas dan memberi satu tindakan seterusnya kepada murid. Guru boleh menyunting kandungan AI dan menyimpan versi sendiri.</w:t>
            </w:r>
          </w:p>
        </w:tc>
      </w:tr>
      <w:tr>
        <w:trPr>
          <w:tblHeader w:val="off"/>
        </w:trPr>
        <w:tc>
          <w:tcPr>
            <w:tcW w:type="dxa" w:w="354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b/>
                <w:bCs/>
                <w:sz w:val="19"/>
                <w:szCs w:val="19"/>
              </w:rPr>
              <w:t xml:space="preserve">Kebolehskalaan.</w:t>
            </w:r>
            <w:r>
              <w:rPr>
                <w:sz w:val="19"/>
                <w:szCs w:val="19"/>
              </w:rPr>
              <w:t xml:space="preserve"> Ujian beban menunjukkan laluan pangkalan data terhad kepada kira-kira 5–6 permintaan sesaat.</w:t>
            </w:r>
          </w:p>
        </w:tc>
        <w:tc>
          <w:tcPr>
            <w:tcW w:type="dxa" w:w="5480"/>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Menambah pekerja pelayan, cache dan memindahkan pengkomputeran ke Google Cloud Run (rantau Asia Tenggara). Had 20 pemain bagi setiap perlawanan Live Arena ditetapkan untuk kestabilan.</w:t>
            </w:r>
          </w:p>
        </w:tc>
      </w:tr>
      <w:tr>
        <w:trPr>
          <w:tblHeader w:val="off"/>
        </w:trPr>
        <w:tc>
          <w:tcPr>
            <w:tcW w:type="dxa" w:w="354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b/>
                <w:bCs/>
                <w:sz w:val="19"/>
                <w:szCs w:val="19"/>
              </w:rPr>
              <w:t xml:space="preserve">Jurang akses internet</w:t>
            </w:r>
            <w:r>
              <w:rPr>
                <w:sz w:val="19"/>
                <w:szCs w:val="19"/>
              </w:rPr>
              <w:t xml:space="preserve"> murid luar bandar.</w:t>
            </w:r>
          </w:p>
        </w:tc>
        <w:tc>
          <w:tcPr>
            <w:tcW w:type="dxa" w:w="5480"/>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Membina mod luar talian: murid memuat turun bank soalan (1,016 soalan, 23 subjek), berlatih tanpa internet dan menyegerakkan jawapan apabila talian kembali.</w:t>
            </w:r>
          </w:p>
        </w:tc>
      </w:tr>
      <w:tr>
        <w:trPr>
          <w:tblHeader w:val="off"/>
        </w:trPr>
        <w:tc>
          <w:tcPr>
            <w:tcW w:type="dxa" w:w="354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b/>
                <w:bCs/>
                <w:sz w:val="19"/>
                <w:szCs w:val="19"/>
              </w:rPr>
              <w:t xml:space="preserve">Mengimbangi kerja hakiki dan kursus</w:t>
            </w:r>
            <w:r>
              <w:rPr>
                <w:sz w:val="19"/>
                <w:szCs w:val="19"/>
              </w:rPr>
              <w:t xml:space="preserve"> dalam tempoh empat bulan.</w:t>
            </w:r>
          </w:p>
        </w:tc>
        <w:tc>
          <w:tcPr>
            <w:tcW w:type="dxa" w:w="5480"/>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Merancang pembangunan secara berperingkat dan menggunakan alat AI pengaturcaraan untuk mempercepat kerja teknikal. Cadangan: penyedia menyediakan kredit awan dan API bersama untuk semua peserta.</w:t>
            </w:r>
          </w:p>
        </w:tc>
      </w:tr>
    </w:tbl>
    <w:p>
      <w:pPr>
        <w:pStyle w:val="Heading1"/>
        <w:spacing w:after="140" w:before="280"/>
      </w:pPr>
      <w:r>
        <w:t xml:space="preserve">K. KESIMPULAN</w:t>
      </w:r>
    </w:p>
    <w:p>
      <w:pPr>
        <w:pStyle w:val="Heading2"/>
        <w:spacing w:after="100" w:before="180"/>
      </w:pPr>
      <w:r>
        <w:t xml:space="preserve">Rumusan kejayaan kursus</w:t>
      </w:r>
    </w:p>
    <w:p>
      <w:pPr>
        <w:spacing w:after="120" w:line="300"/>
        <w:jc w:val="both"/>
      </w:pPr>
      <w:r>
        <w:t xml:space="preserve">Program PRESTIJ 2026 telah mencapai objektifnya. Penulis kini mempunyai kepakaran mereka bentuk, membina, menguji dan mengurus sistem AI agentik untuk pendidikan, dan telah menghasilkan platform KuasaPrestij yang beroperasi sepenuhnya. Platform ini menunjukkan bahawa AI agentik boleh digunakan secara bertanggungjawab dalam konteks Malaysia: selaras DSKP, menyokong tiga bahasa (Bahasa Melayu, Bahasa Inggeris dan Bahasa Cina), meletakkan guru sebagai pembuat keputusan, dan menyimpan data di bawah kawalan pihak Kementerian.</w:t>
      </w:r>
    </w:p>
    <w:p>
      <w:pPr>
        <w:pStyle w:val="Heading2"/>
        <w:spacing w:after="100" w:before="180"/>
      </w:pPr>
      <w:r>
        <w:t xml:space="preserve">Penghargaan</w:t>
      </w:r>
    </w:p>
    <w:p>
      <w:pPr>
        <w:spacing w:after="120" w:line="300"/>
        <w:jc w:val="both"/>
      </w:pPr>
      <w:r>
        <w:t xml:space="preserve">Penulis merakamkan setinggi-tinggi penghargaan kepada Kementerian Pendidikan Malaysia, Jabatan Perkhidmatan Awam, Institut Pendidikan Guru Malaysia dan IPG Kampus Gaya kerana memberi peluang menyertai program ini. Terima kasih juga kepada UNIRAZAK, Intelli Education Group, HCL Technologies dan Møller Institute, para mentor, penceramah dan rakan peserta atas bimbingan dan kerjasama sepanjang program. </w:t>
      </w:r>
      <w:r>
        <w:rPr>
          <w:highlight w:val="yellow"/>
        </w:rPr>
        <w:t xml:space="preserve">[Tambah nama individu jika perlu.]</w:t>
      </w:r>
    </w:p>
    <w:p>
      <w:pPr>
        <w:pStyle w:val="Heading1"/>
        <w:spacing w:after="140" w:before="280"/>
      </w:pPr>
      <w:r>
        <w:t xml:space="preserve">L. LAMPIRAN</w:t>
      </w:r>
    </w:p>
    <w:p>
      <w:pPr>
        <w:pStyle w:val="Heading2"/>
        <w:spacing w:after="100" w:before="180"/>
      </w:pPr>
      <w:r>
        <w:t xml:space="preserve">Perincian outcome: KuasaPrestij</w:t>
      </w:r>
    </w:p>
    <w:p>
      <w:pPr>
        <w:spacing w:after="60" w:before="120"/>
        <w:jc w:val="both"/>
      </w:pPr>
      <w:r>
        <w:rPr>
          <w:b/>
          <w:bCs/>
        </w:rPr>
        <w:t xml:space="preserve">Latar belakang projek</w:t>
      </w:r>
    </w:p>
    <w:p>
      <w:pPr>
        <w:spacing w:after="120" w:line="300"/>
        <w:jc w:val="both"/>
      </w:pPr>
      <w:r>
        <w:t xml:space="preserve">Murid SPM ialah kohort yang terbiasa dengan peperiksaan. Banyak sistem tutor AI menggunakan pendekatan soal jawab Sokratik tanpa henti. Bagi murid yang lemah dan sukar menerangkan pemikiran mereka, pendekatan ini boleh menambah beban bahasa dan menyebabkan murid berputus asa. KuasaPrestij direka sebagai </w:t>
      </w:r>
      <w:r>
        <w:rPr>
          <w:b/>
          <w:bCs/>
        </w:rPr>
        <w:t xml:space="preserve">alat triaj kesilapan</w:t>
      </w:r>
      <w:r>
        <w:t xml:space="preserve">: ia mengesan corak kesilapan dan menyerahkan murid kepada guru dengan skrip intervensi yang sedia digunakan.</w:t>
      </w:r>
    </w:p>
    <w:p>
      <w:pPr>
        <w:spacing w:after="60" w:before="120"/>
        <w:jc w:val="both"/>
      </w:pPr>
      <w:r>
        <w:rPr>
          <w:b/>
          <w:bCs/>
        </w:rPr>
        <w:t xml:space="preserve">Objektif</w:t>
      </w:r>
    </w:p>
    <w:p>
      <w:pPr>
        <w:pStyle w:val="ListParagraph"/>
        <w:numPr>
          <w:ilvl w:val="0"/>
          <w:numId w:val="3"/>
        </w:numPr>
        <w:spacing w:after="60" w:line="288"/>
      </w:pPr>
      <w:r>
        <w:t xml:space="preserve">Menyediakan latihan adaptif selaras DSKP KSSM yang meningkat mengikut aras KBAT (Memahami → Mengaplikasi → Menganalisis → Menilai).</w:t>
      </w:r>
    </w:p>
    <w:p>
      <w:pPr>
        <w:pStyle w:val="ListParagraph"/>
        <w:numPr>
          <w:ilvl w:val="0"/>
          <w:numId w:val="3"/>
        </w:numPr>
        <w:spacing w:after="60" w:line="288"/>
      </w:pPr>
      <w:r>
        <w:t xml:space="preserve">Mengenal pasti kategori dan punca kesilapan murid secara automatik bagi setiap jawapan.</w:t>
      </w:r>
    </w:p>
    <w:p>
      <w:pPr>
        <w:pStyle w:val="ListParagraph"/>
        <w:numPr>
          <w:ilvl w:val="0"/>
          <w:numId w:val="3"/>
        </w:numPr>
        <w:spacing w:after="60" w:line="288"/>
      </w:pPr>
      <w:r>
        <w:t xml:space="preserve">Memaklumkan guru dengan skrip intervensi apabila murid gagal berulang kali pada topik yang sama.</w:t>
      </w:r>
    </w:p>
    <w:p>
      <w:pPr>
        <w:pStyle w:val="ListParagraph"/>
        <w:numPr>
          <w:ilvl w:val="0"/>
          <w:numId w:val="3"/>
        </w:numPr>
        <w:spacing w:after="60" w:line="288"/>
      </w:pPr>
      <w:r>
        <w:t xml:space="preserve">Memberi guru papan pemuka penguasaan kelas dan alat menjana tugasan berbeza mengikut keperluan murid.</w:t>
      </w:r>
    </w:p>
    <w:p>
      <w:pPr>
        <w:pStyle w:val="ListParagraph"/>
        <w:numPr>
          <w:ilvl w:val="0"/>
          <w:numId w:val="3"/>
        </w:numPr>
        <w:spacing w:after="60" w:line="288"/>
      </w:pPr>
      <w:r>
        <w:t xml:space="preserve">Menyimpan data pembelajaran di bawah kawalan Kementerian untuk analisis dan dasar.</w:t>
      </w:r>
    </w:p>
    <w:p>
      <w:pPr>
        <w:spacing w:after="60" w:before="120"/>
        <w:jc w:val="both"/>
      </w:pPr>
      <w:r>
        <w:rPr>
          <w:b/>
          <w:bCs/>
        </w:rPr>
        <w:t xml:space="preserve">Kepentingan projek kepada Kementerian / Kerajaan</w:t>
      </w:r>
    </w:p>
    <w:p>
      <w:pPr>
        <w:pStyle w:val="ListParagraph"/>
        <w:numPr>
          <w:ilvl w:val="0"/>
          <w:numId w:val="2"/>
        </w:numPr>
        <w:spacing w:after="60" w:line="288"/>
      </w:pPr>
      <w:r>
        <w:t xml:space="preserve">Menyokong usaha meningkatkan pencapaian SPM melalui pengesanan awal murid berisiko.</w:t>
      </w:r>
    </w:p>
    <w:p>
      <w:pPr>
        <w:pStyle w:val="ListParagraph"/>
        <w:numPr>
          <w:ilvl w:val="0"/>
          <w:numId w:val="2"/>
        </w:numPr>
        <w:spacing w:after="60" w:line="288"/>
      </w:pPr>
      <w:r>
        <w:t xml:space="preserve">Mengurangkan beban guru: soalan, penandaan, laporan dan cadangan intervensi dijana oleh sistem, dan guru membuat keputusan akhir.</w:t>
      </w:r>
    </w:p>
    <w:p>
      <w:pPr>
        <w:pStyle w:val="ListParagraph"/>
        <w:numPr>
          <w:ilvl w:val="0"/>
          <w:numId w:val="2"/>
        </w:numPr>
        <w:spacing w:after="60" w:line="288"/>
      </w:pPr>
      <w:r>
        <w:t xml:space="preserve">Memastikan kedaulatan data pendidikan negara dan mengurangkan kebergantungan pada platform asing.</w:t>
      </w:r>
    </w:p>
    <w:p>
      <w:pPr>
        <w:pStyle w:val="ListParagraph"/>
        <w:numPr>
          <w:ilvl w:val="0"/>
          <w:numId w:val="2"/>
        </w:numPr>
        <w:spacing w:after="60" w:line="288"/>
      </w:pPr>
      <w:r>
        <w:t xml:space="preserve">Menjadi model rujukan bagaimana KPM boleh membina sistem AI agentik sendiri secara kos rendah.</w:t>
      </w:r>
    </w:p>
    <w:p>
      <w:pPr>
        <w:spacing w:after="60" w:before="120"/>
        <w:jc w:val="both"/>
      </w:pPr>
      <w:r>
        <w:rPr>
          <w:b/>
          <w:bCs/>
        </w:rPr>
        <w:t xml:space="preserve">Kumpulan sasaran</w:t>
      </w:r>
    </w:p>
    <w:p>
      <w:pPr>
        <w:pStyle w:val="ListParagraph"/>
        <w:numPr>
          <w:ilvl w:val="0"/>
          <w:numId w:val="2"/>
        </w:numPr>
        <w:spacing w:after="60" w:line="288"/>
      </w:pPr>
      <w:r>
        <w:t xml:space="preserve">Murid sekolah menengah KSSM, terutamanya Tingkatan 4 dan 5 (calon SPM); bank soalan meliputi Tingkatan 1 hingga 5.</w:t>
      </w:r>
    </w:p>
    <w:p>
      <w:pPr>
        <w:pStyle w:val="ListParagraph"/>
        <w:numPr>
          <w:ilvl w:val="0"/>
          <w:numId w:val="2"/>
        </w:numPr>
        <w:spacing w:after="60" w:line="288"/>
      </w:pPr>
      <w:r>
        <w:t xml:space="preserve">Guru mata pelajaran dan guru kelas; pentadbir sekolah dan pegawai PPD / JPN untuk data agregat.</w:t>
      </w:r>
    </w:p>
    <w:p>
      <w:pPr>
        <w:pStyle w:val="ListParagraph"/>
        <w:numPr>
          <w:ilvl w:val="0"/>
          <w:numId w:val="2"/>
        </w:numPr>
        <w:spacing w:after="60" w:line="288"/>
      </w:pPr>
      <w:r>
        <w:t xml:space="preserve">Pensyarah dan guru pelatih IPG sebagai pengguna dan pereka sistem AI pendidikan.</w:t>
      </w:r>
    </w:p>
    <w:p>
      <w:pPr>
        <w:spacing w:after="60" w:before="120"/>
        <w:jc w:val="both"/>
      </w:pPr>
      <w:r>
        <w:rPr>
          <w:b/>
          <w:bCs/>
        </w:rPr>
        <w:t xml:space="preserve">Perancangan dan strategi pelaksanaan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Komponen</w:t>
            </w:r>
          </w:p>
        </w:tc>
        <w:tc>
          <w:tcPr>
            <w:tcW w:type="dxa" w:w="6447"/>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Penerangan</w:t>
            </w:r>
          </w:p>
        </w:tc>
      </w:tr>
      <w:tr>
        <w:trPr>
          <w:tblHeader w:val="off"/>
        </w:trPr>
        <w:tc>
          <w:tcPr>
            <w:tcW w:type="dxa" w:w="257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Rantaian ejen AI</w:t>
            </w:r>
          </w:p>
        </w:tc>
        <w:tc>
          <w:tcPr>
            <w:tcW w:type="dxa" w:w="6447"/>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Ejen pencari (DSKP melalui carian vektor) → ejen penjana soalan → ejen penilai jawapan → pengemas kini penguasaan → ejen triaj dan intervensi untuk guru. Dibina dengan FastAPI dan LangGraph.</w:t>
            </w:r>
          </w:p>
        </w:tc>
      </w:tr>
      <w:tr>
        <w:trPr>
          <w:tblHeader w:val="off"/>
        </w:trPr>
        <w:tc>
          <w:tcPr>
            <w:tcW w:type="dxa" w:w="257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Model AI</w:t>
            </w:r>
          </w:p>
        </w:tc>
        <w:tc>
          <w:tcPr>
            <w:tcW w:type="dxa" w:w="6447"/>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Beberapa penyedia LLM yang bertukar secara automatik (DeepSeek, Mistral, Groq, Gemini dan lain-lain), serta model embedding berbilang bahasa yang dijalankan secara tempatan.</w:t>
            </w:r>
          </w:p>
        </w:tc>
      </w:tr>
      <w:tr>
        <w:trPr>
          <w:tblHeader w:val="off"/>
        </w:trPr>
        <w:tc>
          <w:tcPr>
            <w:tcW w:type="dxa" w:w="257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Pangkalan data</w:t>
            </w:r>
          </w:p>
        </w:tc>
        <w:tc>
          <w:tcPr>
            <w:tcW w:type="dxa" w:w="6447"/>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PostgreSQL (Supabase) dengan pgvector; salinan cermin pada Google Cloud SQL.</w:t>
            </w:r>
          </w:p>
        </w:tc>
      </w:tr>
      <w:tr>
        <w:trPr>
          <w:tblHeader w:val="off"/>
        </w:trPr>
        <w:tc>
          <w:tcPr>
            <w:tcW w:type="dxa" w:w="257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Pengehosan</w:t>
            </w:r>
          </w:p>
        </w:tc>
        <w:tc>
          <w:tcPr>
            <w:tcW w:type="dxa" w:w="6447"/>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Pelayan sendiri (VPS) dan Google Cloud Run, rantau asia-southeast1.</w:t>
            </w:r>
          </w:p>
        </w:tc>
      </w:tr>
      <w:tr>
        <w:trPr>
          <w:tblHeader w:val="off"/>
        </w:trPr>
        <w:tc>
          <w:tcPr>
            <w:tcW w:type="dxa" w:w="257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Ciri murid</w:t>
            </w:r>
          </w:p>
        </w:tc>
        <w:tc>
          <w:tcPr>
            <w:tcW w:type="dxa" w:w="6447"/>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Latihan adaptif gaya “Shorts”, mod diagnostik, mod peperiksaan SPM, penandaan esei, nota dan tutor AI, permainan pembelajaran (Answer Flappy, Catch the Answer, Dino Run), mod luar talian.</w:t>
            </w:r>
          </w:p>
        </w:tc>
      </w:tr>
      <w:tr>
        <w:trPr>
          <w:tblHeader w:val="off"/>
        </w:trPr>
        <w:tc>
          <w:tcPr>
            <w:tcW w:type="dxa" w:w="257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Ciri guru</w:t>
            </w:r>
          </w:p>
        </w:tc>
        <w:tc>
          <w:tcPr>
            <w:tcW w:type="dxa" w:w="6447"/>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Papan pemuka penguasaan kelas, amaran murid berisiko, “AI Controller” untuk menjana dan memberi tugasan, Live Arena (kuiz langsung + permainan untuk kelas), laporan harian melalui Telegram, integrasi Google Classroom.</w:t>
            </w:r>
          </w:p>
        </w:tc>
      </w:tr>
      <w:tr>
        <w:trPr>
          <w:tblHeader w:val="off"/>
        </w:trPr>
        <w:tc>
          <w:tcPr>
            <w:tcW w:type="dxa" w:w="257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Bahasa</w:t>
            </w:r>
          </w:p>
        </w:tc>
        <w:tc>
          <w:tcPr>
            <w:tcW w:type="dxa" w:w="6447"/>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Bahasa Melayu, Bahasa Inggeris dan Bahasa Cina.</w:t>
            </w:r>
          </w:p>
        </w:tc>
      </w:tr>
    </w:tbl>
    <w:p>
      <w:pPr>
        <w:spacing w:after="80"/>
      </w:pPr>
    </w:p>
    <w:p>
      <w:pPr>
        <w:spacing w:after="120" w:line="300"/>
        <w:jc w:val="both"/>
      </w:pPr>
      <w:r>
        <w:t xml:space="preserve">Pelaksanaan dirancang dalam tiga peringkat: (1) pembangunan dan ujian simulasi semasa kursus, (2) rintis di sekolah terpilih di Sabah, dan (3) peluasan serta pemindahan ke infrastruktur KPM jika rintis berjaya.</w:t>
      </w:r>
    </w:p>
    <w:p>
      <w:pPr>
        <w:spacing w:after="60" w:before="120"/>
        <w:jc w:val="both"/>
      </w:pPr>
      <w:r>
        <w:rPr>
          <w:b/>
          <w:bCs/>
        </w:rPr>
        <w:t xml:space="preserve">Analisa projek</w:t>
      </w:r>
    </w:p>
    <w:p>
      <w:pPr>
        <w:spacing w:after="120" w:line="300"/>
        <w:jc w:val="both"/>
      </w:pPr>
      <w:r>
        <w:t xml:space="preserve">Sistem diuji melalui simulasi 300 murid maya (75 bagi setiap profil: bandar-DLP, bandar bukan DLP, luar bandar-DLP, luar bandar bukan DLP) dalam lima subjek (Matematik, Sejarah, Sains, Bahasa Melayu dan Bahasa Inggeris), dengan 40 item bagi setiap sesi.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805"/>
        <w:gridCol w:w="2106"/>
        <w:gridCol w:w="2106"/>
      </w:tblGrid>
      <w:tr>
        <w:trPr>
          <w:tblHeader/>
        </w:trPr>
        <w:tc>
          <w:tcPr>
            <w:tcW w:type="dxa" w:w="3009"/>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Profil murid (simulasi)</w:t>
            </w:r>
          </w:p>
        </w:tc>
        <w:tc>
          <w:tcPr>
            <w:tcW w:type="dxa" w:w="1805"/>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Kadar lulus</w:t>
            </w:r>
          </w:p>
        </w:tc>
        <w:tc>
          <w:tcPr>
            <w:tcW w:type="dxa" w:w="2106"/>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Purata masa / soalan</w:t>
            </w:r>
          </w:p>
        </w:tc>
        <w:tc>
          <w:tcPr>
            <w:tcW w:type="dxa" w:w="2106"/>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Kadar tercicir</w:t>
            </w:r>
          </w:p>
        </w:tc>
      </w:tr>
      <w:tr>
        <w:trPr>
          <w:tblHeader w:val="off"/>
        </w:trPr>
        <w:tc>
          <w:tcPr>
            <w:tcW w:type="dxa" w:w="300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Bandar – DLP</w:t>
            </w:r>
          </w:p>
        </w:tc>
        <w:tc>
          <w:tcPr>
            <w:tcW w:type="dxa" w:w="1805"/>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68.3%</w:t>
            </w:r>
          </w:p>
        </w:tc>
        <w:tc>
          <w:tcPr>
            <w:tcW w:type="dxa" w:w="210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28.2 s</w:t>
            </w:r>
          </w:p>
        </w:tc>
        <w:tc>
          <w:tcPr>
            <w:tcW w:type="dxa" w:w="210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25.3%</w:t>
            </w:r>
          </w:p>
        </w:tc>
      </w:tr>
      <w:tr>
        <w:trPr>
          <w:tblHeader w:val="off"/>
        </w:trPr>
        <w:tc>
          <w:tcPr>
            <w:tcW w:type="dxa" w:w="300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Bandar – bukan DLP</w:t>
            </w:r>
          </w:p>
        </w:tc>
        <w:tc>
          <w:tcPr>
            <w:tcW w:type="dxa" w:w="1805"/>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54.0%</w:t>
            </w:r>
          </w:p>
        </w:tc>
        <w:tc>
          <w:tcPr>
            <w:tcW w:type="dxa" w:w="210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33.2 s</w:t>
            </w:r>
          </w:p>
        </w:tc>
        <w:tc>
          <w:tcPr>
            <w:tcW w:type="dxa" w:w="210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54.7%</w:t>
            </w:r>
          </w:p>
        </w:tc>
      </w:tr>
      <w:tr>
        <w:trPr>
          <w:tblHeader w:val="off"/>
        </w:trPr>
        <w:tc>
          <w:tcPr>
            <w:tcW w:type="dxa" w:w="300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Luar bandar – DLP</w:t>
            </w:r>
          </w:p>
        </w:tc>
        <w:tc>
          <w:tcPr>
            <w:tcW w:type="dxa" w:w="1805"/>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48.3%</w:t>
            </w:r>
          </w:p>
        </w:tc>
        <w:tc>
          <w:tcPr>
            <w:tcW w:type="dxa" w:w="210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42.5 s</w:t>
            </w:r>
          </w:p>
        </w:tc>
        <w:tc>
          <w:tcPr>
            <w:tcW w:type="dxa" w:w="210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58.7%</w:t>
            </w:r>
          </w:p>
        </w:tc>
      </w:tr>
      <w:tr>
        <w:trPr>
          <w:tblHeader w:val="off"/>
        </w:trPr>
        <w:tc>
          <w:tcPr>
            <w:tcW w:type="dxa" w:w="3009"/>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Luar bandar – bukan DLP</w:t>
            </w:r>
          </w:p>
        </w:tc>
        <w:tc>
          <w:tcPr>
            <w:tcW w:type="dxa" w:w="1805"/>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34.5%</w:t>
            </w:r>
          </w:p>
        </w:tc>
        <w:tc>
          <w:tcPr>
            <w:tcW w:type="dxa" w:w="210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47.2 s</w:t>
            </w:r>
          </w:p>
        </w:tc>
        <w:tc>
          <w:tcPr>
            <w:tcW w:type="dxa" w:w="210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90.7%</w:t>
            </w:r>
          </w:p>
        </w:tc>
      </w:tr>
    </w:tbl>
    <w:p>
      <w:pPr>
        <w:spacing w:after="120" w:before="60"/>
        <w:jc w:val="both"/>
      </w:pPr>
      <w:r>
        <w:t xml:space="preserve">Sumber: simulasi Monte Carlo (model IRT), pangkalan item 903 soalan. Ini data simulasi, bukan data murid sebenar.</w:t>
      </w:r>
    </w:p>
    <w:p>
      <w:pPr>
        <w:spacing w:after="120" w:line="300"/>
        <w:jc w:val="both"/>
      </w:pPr>
      <w:r>
        <w:t xml:space="preserve">Simulasi ini menunjukkan jurang bandar–luar bandar yang besar, terutamanya dalam kadar tercicir. Ini menyokong keperluan ciri triaj guru, mod luar talian dan permainan pemulihan yang telah dibina. Penilaian kualiti kandungan oleh ejen penyemak mendapati 61% soalan selaras sepenuhnya dengan format SPM; dapatan ini digunakan untuk memperbaiki prompt dan semakan automatik.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tblHeader/>
        </w:trPr>
        <w:tc>
          <w:tcPr>
            <w:tcW w:type="dxa" w:w="5416"/>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Petunjuk pembangunan</w:t>
            </w:r>
          </w:p>
        </w:tc>
        <w:tc>
          <w:tcPr>
            <w:tcW w:type="dxa" w:w="3610"/>
            <w:tcBorders>
              <w:top w:val="single" w:color="8C9AA3" w:sz="4"/>
              <w:left w:val="single" w:color="8C9AA3" w:sz="4"/>
              <w:bottom w:val="single" w:color="8C9AA3" w:sz="4"/>
              <w:right w:val="single" w:color="8C9AA3" w:sz="4"/>
            </w:tcBorders>
            <w:shd w:fill="DCE6EA" w:color="auto" w:val="clear"/>
            <w:tcMar>
              <w:top w:type="dxa" w:w="60"/>
              <w:left w:type="dxa" w:w="100"/>
              <w:bottom w:type="dxa" w:w="60"/>
              <w:right w:type="dxa" w:w="100"/>
            </w:tcMar>
          </w:tcPr>
          <w:p>
            <w:pPr>
              <w:spacing w:after="40"/>
            </w:pPr>
            <w:r>
              <w:rPr>
                <w:b/>
                <w:bCs/>
                <w:sz w:val="19"/>
                <w:szCs w:val="19"/>
              </w:rPr>
              <w:t xml:space="preserve">Nilai</w:t>
            </w:r>
          </w:p>
        </w:tc>
      </w:tr>
      <w:tr>
        <w:trPr>
          <w:tblHeader w:val="off"/>
        </w:trPr>
        <w:tc>
          <w:tcPr>
            <w:tcW w:type="dxa" w:w="541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Tempoh pembangunan</w:t>
            </w:r>
          </w:p>
        </w:tc>
        <w:tc>
          <w:tcPr>
            <w:tcW w:type="dxa" w:w="3610"/>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Mei – Oktober 2026</w:t>
            </w:r>
          </w:p>
        </w:tc>
      </w:tr>
      <w:tr>
        <w:trPr>
          <w:tblHeader w:val="off"/>
        </w:trPr>
        <w:tc>
          <w:tcPr>
            <w:tcW w:type="dxa" w:w="541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Bilangan kemas kini kod (commit)</w:t>
            </w:r>
          </w:p>
        </w:tc>
        <w:tc>
          <w:tcPr>
            <w:tcW w:type="dxa" w:w="3610"/>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495</w:t>
            </w:r>
          </w:p>
        </w:tc>
      </w:tr>
      <w:tr>
        <w:trPr>
          <w:tblHeader w:val="off"/>
        </w:trPr>
        <w:tc>
          <w:tcPr>
            <w:tcW w:type="dxa" w:w="541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Bank soalan luar talian</w:t>
            </w:r>
          </w:p>
        </w:tc>
        <w:tc>
          <w:tcPr>
            <w:tcW w:type="dxa" w:w="3610"/>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1,016 soalan, 23 subjek</w:t>
            </w:r>
          </w:p>
        </w:tc>
      </w:tr>
      <w:tr>
        <w:trPr>
          <w:tblHeader w:val="off"/>
        </w:trPr>
        <w:tc>
          <w:tcPr>
            <w:tcW w:type="dxa" w:w="541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Bahasa disokong</w:t>
            </w:r>
          </w:p>
        </w:tc>
        <w:tc>
          <w:tcPr>
            <w:tcW w:type="dxa" w:w="3610"/>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3 (BM, EN, ZH)</w:t>
            </w:r>
          </w:p>
        </w:tc>
      </w:tr>
      <w:tr>
        <w:trPr>
          <w:tblHeader w:val="off"/>
        </w:trPr>
        <w:tc>
          <w:tcPr>
            <w:tcW w:type="dxa" w:w="5416"/>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Had pemain Live Arena</w:t>
            </w:r>
          </w:p>
        </w:tc>
        <w:tc>
          <w:tcPr>
            <w:tcW w:type="dxa" w:w="3610"/>
            <w:tcBorders>
              <w:top w:val="single" w:color="8C9AA3" w:sz="4"/>
              <w:left w:val="single" w:color="8C9AA3" w:sz="4"/>
              <w:bottom w:val="single" w:color="8C9AA3" w:sz="4"/>
              <w:right w:val="single" w:color="8C9AA3" w:sz="4"/>
            </w:tcBorders>
            <w:tcMar>
              <w:top w:type="dxa" w:w="60"/>
              <w:left w:type="dxa" w:w="100"/>
              <w:bottom w:type="dxa" w:w="60"/>
              <w:right w:type="dxa" w:w="100"/>
            </w:tcMar>
          </w:tcPr>
          <w:p>
            <w:pPr>
              <w:spacing w:after="40"/>
            </w:pPr>
            <w:r>
              <w:rPr>
                <w:sz w:val="19"/>
                <w:szCs w:val="19"/>
              </w:rPr>
              <w:t xml:space="preserve">20 murid serentak bagi setiap perlawanan</w:t>
            </w:r>
          </w:p>
        </w:tc>
      </w:tr>
    </w:tbl>
    <w:p>
      <w:pPr>
        <w:spacing w:after="80"/>
      </w:pPr>
    </w:p>
    <w:p>
      <w:pPr>
        <w:spacing w:after="60" w:before="120"/>
        <w:jc w:val="both"/>
      </w:pPr>
      <w:r>
        <w:rPr>
          <w:b/>
          <w:bCs/>
        </w:rPr>
        <w:t xml:space="preserve">Kesimpulan dan rumusan</w:t>
      </w:r>
    </w:p>
    <w:p>
      <w:pPr>
        <w:spacing w:after="120" w:line="300"/>
        <w:jc w:val="both"/>
      </w:pPr>
      <w:r>
        <w:t xml:space="preserve">KuasaPrestij membuktikan bahawa seorang pegawai KPM, dengan latihan yang betul, boleh membina sistem AI agentik yang berfungsi, selaras kurikulum dan berkos rendah. Langkah seterusnya ialah rintis dengan murid sebenar untuk mengukur kesan kepada penguasaan topik, dan menilai kesesuaian pemindahan sistem ke infrastruktur KPM.</w:t>
      </w:r>
    </w:p>
    <w:p>
      <w:pPr>
        <w:pStyle w:val="Heading2"/>
        <w:spacing w:after="100" w:before="180"/>
      </w:pPr>
      <w:r>
        <w:t xml:space="preserve">Dokumen dan gambar aktiviti berkaitan</w:t>
      </w:r>
    </w:p>
    <w:p>
      <w:pPr>
        <w:spacing w:after="120" w:line="300"/>
        <w:jc w:val="both"/>
      </w:pPr>
      <w:r>
        <w:rPr>
          <w:highlight w:val="yellow"/>
        </w:rPr>
        <w:t xml:space="preserve">[Lampirkan gambar sesi di Pulau Pinang, Chennai dan Cambridge, serta tangkapan skrin platform: papan pemuka guru, latihan murid, Live Arena.]</w:t>
      </w:r>
    </w:p>
    <w:p>
      <w:pPr>
        <w:pStyle w:val="Heading2"/>
        <w:spacing w:after="100" w:before="180"/>
      </w:pPr>
      <w:r>
        <w:t xml:space="preserve">Data, carta, graf</w:t>
      </w:r>
    </w:p>
    <w:p>
      <w:pPr>
        <w:spacing w:after="120" w:line="300"/>
        <w:jc w:val="both"/>
      </w:pPr>
      <w:r>
        <w:rPr>
          <w:highlight w:val="yellow"/>
        </w:rPr>
        <w:t xml:space="preserve">[Lampirkan carta kadar lulus mengikut profil, carta penguasaan kelas dari papan pemuka, dan ringkasan semakan kualiti soalan.]</w:t>
      </w:r>
    </w:p>
    <w:p>
      <w:pPr>
        <w:pStyle w:val="Heading2"/>
        <w:spacing w:after="100" w:before="180"/>
      </w:pPr>
      <w:r>
        <w:t xml:space="preserve">Sijil</w:t>
      </w:r>
    </w:p>
    <w:p>
      <w:pPr>
        <w:spacing w:after="120" w:line="300"/>
        <w:jc w:val="both"/>
      </w:pPr>
      <w:r>
        <w:rPr>
          <w:highlight w:val="yellow"/>
        </w:rPr>
        <w:t xml:space="preserve">[Lampirkan salinan sijil penyertaan / penamatan program.]</w:t>
      </w:r>
    </w:p>
    <w:p>
      <w:pPr>
        <w:pStyle w:val="Heading1"/>
        <w:spacing w:after="140" w:before="280"/>
      </w:pPr>
      <w:r>
        <w:t xml:space="preserve">M. MAKLUMAT PERHUBUNGAN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80"/>
            </w:pPr>
            <w:r>
              <w:rPr>
                <w:b/>
                <w:bCs/>
              </w:rPr>
              <w:t xml:space="preserve">Nama</w:t>
            </w:r>
          </w:p>
        </w:tc>
        <w:tc>
          <w:tcPr>
            <w:tcW w:type="dxa" w:w="6226"/>
            <w:tcBorders>
              <w:top w:val="none" w:color="FFFFFF" w:sz="0"/>
              <w:left w:val="none" w:color="FFFFFF" w:sz="0"/>
              <w:bottom w:val="none" w:color="FFFFFF" w:sz="0"/>
              <w:right w:val="none" w:color="FFFFFF" w:sz="0"/>
            </w:tcBorders>
          </w:tcPr>
          <w:p>
            <w:pPr>
              <w:spacing w:after="80"/>
            </w:pPr>
            <w:r>
              <w:t xml:space="preserve">: Dr Alvin Auh Min Han</w:t>
            </w:r>
          </w:p>
        </w:tc>
      </w:tr>
      <w:tr>
        <w:tc>
          <w:tcPr>
            <w:tcW w:type="dxa" w:w="2800"/>
            <w:tcBorders>
              <w:top w:val="none" w:color="FFFFFF" w:sz="0"/>
              <w:left w:val="none" w:color="FFFFFF" w:sz="0"/>
              <w:bottom w:val="none" w:color="FFFFFF" w:sz="0"/>
              <w:right w:val="none" w:color="FFFFFF" w:sz="0"/>
            </w:tcBorders>
          </w:tcPr>
          <w:p>
            <w:pPr>
              <w:spacing w:after="80"/>
            </w:pPr>
            <w:r>
              <w:rPr>
                <w:b/>
                <w:bCs/>
              </w:rPr>
              <w:t xml:space="preserve">Alamat pejabat</w:t>
            </w:r>
          </w:p>
        </w:tc>
        <w:tc>
          <w:tcPr>
            <w:tcW w:type="dxa" w:w="6226"/>
            <w:tcBorders>
              <w:top w:val="none" w:color="FFFFFF" w:sz="0"/>
              <w:left w:val="none" w:color="FFFFFF" w:sz="0"/>
              <w:bottom w:val="none" w:color="FFFFFF" w:sz="0"/>
              <w:right w:val="none" w:color="FFFFFF" w:sz="0"/>
            </w:tcBorders>
          </w:tcPr>
          <w:p>
            <w:pPr>
              <w:spacing w:after="80"/>
            </w:pPr>
            <w:r>
              <w:t xml:space="preserve">: Institut Pendidikan Guru Kampus Gaya, </w:t>
            </w:r>
            <w:r>
              <w:rPr>
                <w:highlight w:val="yellow"/>
              </w:rPr>
              <w:t xml:space="preserve">[alamat penuh]</w:t>
            </w:r>
            <w:r>
              <w:t xml:space="preserve">, Kota Kinabalu, Sabah</w:t>
            </w:r>
          </w:p>
        </w:tc>
      </w:tr>
      <w:tr>
        <w:tc>
          <w:tcPr>
            <w:tcW w:type="dxa" w:w="2800"/>
            <w:tcBorders>
              <w:top w:val="none" w:color="FFFFFF" w:sz="0"/>
              <w:left w:val="none" w:color="FFFFFF" w:sz="0"/>
              <w:bottom w:val="none" w:color="FFFFFF" w:sz="0"/>
              <w:right w:val="none" w:color="FFFFFF" w:sz="0"/>
            </w:tcBorders>
          </w:tcPr>
          <w:p>
            <w:pPr>
              <w:spacing w:after="80"/>
            </w:pPr>
            <w:r>
              <w:rPr>
                <w:b/>
                <w:bCs/>
              </w:rPr>
              <w:t xml:space="preserve">No. telefon</w:t>
            </w:r>
          </w:p>
        </w:tc>
        <w:tc>
          <w:tcPr>
            <w:tcW w:type="dxa" w:w="6226"/>
            <w:tcBorders>
              <w:top w:val="none" w:color="FFFFFF" w:sz="0"/>
              <w:left w:val="none" w:color="FFFFFF" w:sz="0"/>
              <w:bottom w:val="none" w:color="FFFFFF" w:sz="0"/>
              <w:right w:val="none" w:color="FFFFFF" w:sz="0"/>
            </w:tcBorders>
          </w:tcPr>
          <w:p>
            <w:pPr>
              <w:spacing w:after="80"/>
            </w:pPr>
            <w:r>
              <w:t xml:space="preserve">: </w:t>
            </w:r>
            <w:r>
              <w:rPr>
                <w:highlight w:val="yellow"/>
              </w:rPr>
              <w:t xml:space="preserve">[No. telefon]</w:t>
            </w:r>
          </w:p>
        </w:tc>
      </w:tr>
      <w:tr>
        <w:tc>
          <w:tcPr>
            <w:tcW w:type="dxa" w:w="2800"/>
            <w:tcBorders>
              <w:top w:val="none" w:color="FFFFFF" w:sz="0"/>
              <w:left w:val="none" w:color="FFFFFF" w:sz="0"/>
              <w:bottom w:val="none" w:color="FFFFFF" w:sz="0"/>
              <w:right w:val="none" w:color="FFFFFF" w:sz="0"/>
            </w:tcBorders>
          </w:tcPr>
          <w:p>
            <w:pPr>
              <w:spacing w:after="80"/>
            </w:pPr>
            <w:r>
              <w:rPr>
                <w:b/>
                <w:bCs/>
              </w:rPr>
              <w:t xml:space="preserve">E-mel</w:t>
            </w:r>
          </w:p>
        </w:tc>
        <w:tc>
          <w:tcPr>
            <w:tcW w:type="dxa" w:w="6226"/>
            <w:tcBorders>
              <w:top w:val="none" w:color="FFFFFF" w:sz="0"/>
              <w:left w:val="none" w:color="FFFFFF" w:sz="0"/>
              <w:bottom w:val="none" w:color="FFFFFF" w:sz="0"/>
              <w:right w:val="none" w:color="FFFFFF" w:sz="0"/>
            </w:tcBorders>
          </w:tcPr>
          <w:p>
            <w:pPr>
              <w:spacing w:after="80"/>
            </w:pPr>
            <w:r>
              <w:t xml:space="preserve">: </w:t>
            </w:r>
            <w:r>
              <w:rPr>
                <w:highlight w:val="yellow"/>
              </w:rPr>
              <w:t xml:space="preserve">[e-mel rasmi]</w:t>
            </w:r>
          </w:p>
        </w:tc>
      </w:tr>
      <w:tr>
        <w:tc>
          <w:tcPr>
            <w:tcW w:type="dxa" w:w="2800"/>
            <w:tcBorders>
              <w:top w:val="none" w:color="FFFFFF" w:sz="0"/>
              <w:left w:val="none" w:color="FFFFFF" w:sz="0"/>
              <w:bottom w:val="none" w:color="FFFFFF" w:sz="0"/>
              <w:right w:val="none" w:color="FFFFFF" w:sz="0"/>
            </w:tcBorders>
          </w:tcPr>
          <w:p>
            <w:pPr>
              <w:spacing w:after="80"/>
            </w:pPr>
            <w:r>
              <w:rPr>
                <w:b/>
                <w:bCs/>
              </w:rPr>
              <w:t xml:space="preserve">Pautan sistem</w:t>
            </w:r>
          </w:p>
        </w:tc>
        <w:tc>
          <w:tcPr>
            <w:tcW w:type="dxa" w:w="6226"/>
            <w:tcBorders>
              <w:top w:val="none" w:color="FFFFFF" w:sz="0"/>
              <w:left w:val="none" w:color="FFFFFF" w:sz="0"/>
              <w:bottom w:val="none" w:color="FFFFFF" w:sz="0"/>
              <w:right w:val="none" w:color="FFFFFF" w:sz="0"/>
            </w:tcBorders>
          </w:tcPr>
          <w:p>
            <w:pPr>
              <w:spacing w:after="80"/>
            </w:pPr>
            <w:r>
              <w:t xml:space="preserve">: </w:t>
            </w:r>
            <w:r>
              <w:rPr>
                <w:highlight w:val="yellow"/>
              </w:rPr>
              <w:t xml:space="preserve">[URL KuasaPrestij]</w:t>
            </w:r>
          </w:p>
        </w:tc>
      </w:tr>
    </w:tbl>
    <w:p>
      <w:pPr>
        <w:pStyle w:val="Heading1"/>
        <w:spacing w:after="140" w:before="280"/>
      </w:pPr>
      <w:r>
        <w:t xml:space="preserve">N. PENUTUP</w:t>
      </w:r>
    </w:p>
    <w:p>
      <w:pPr>
        <w:spacing w:after="120" w:line="300"/>
        <w:jc w:val="both"/>
      </w:pPr>
      <w:r>
        <w:t xml:space="preserve">Program PRESTIJ 2026: Agentic AI for Educationists memberi impak langsung kepada kepakaran penulis dan menghasilkan satu sistem yang boleh dimanfaatkan oleh Kementerian. Penulis komited untuk melaksanakan pelan tindakan yang dicadangkan, berkongsi kepakaran dengan warga IPG dan sekolah, serta menyokong agenda pendidikan digital negara.</w:t>
      </w:r>
    </w:p>
    <w:p>
      <w:pPr>
        <w:spacing w:after="80"/>
      </w:pPr>
    </w:p>
    <w:p>
      <w:pPr>
        <w:spacing w:after="80"/>
      </w:pPr>
    </w:p>
    <w:p>
      <w:pPr>
        <w:spacing w:after="120" w:line="300"/>
        <w:jc w:val="left"/>
      </w:pPr>
      <w:r>
        <w:t xml:space="preserve">Disediakan oleh:</w:t>
      </w:r>
    </w:p>
    <w:p>
      <w:pPr>
        <w:spacing w:after="80"/>
      </w:pPr>
    </w:p>
    <w:p>
      <w:pPr>
        <w:spacing w:after="80"/>
      </w:pPr>
    </w:p>
    <w:p>
      <w:pPr>
        <w:spacing w:after="120" w:line="300"/>
        <w:jc w:val="left"/>
      </w:pPr>
      <w:r>
        <w:t xml:space="preserve">……………………………………………</w:t>
      </w:r>
    </w:p>
    <w:p>
      <w:pPr>
        <w:spacing w:after="40"/>
        <w:jc w:val="left"/>
      </w:pPr>
      <w:r>
        <w:rPr>
          <w:b/>
          <w:bCs/>
        </w:rPr>
        <w:t xml:space="preserve">(DR ALVIN AUH MIN HAN)</w:t>
      </w:r>
    </w:p>
    <w:p>
      <w:pPr>
        <w:spacing w:after="40"/>
        <w:jc w:val="left"/>
      </w:pPr>
      <w:r>
        <w:t xml:space="preserve">Pensyarah Akademik, IPG Kampus Gaya</w:t>
      </w:r>
    </w:p>
    <w:p>
      <w:pPr>
        <w:spacing w:after="120" w:line="300"/>
        <w:jc w:val="left"/>
      </w:pPr>
      <w:r>
        <w:t xml:space="preserve">Tarikh: </w:t>
      </w:r>
      <w:r>
        <w:rPr>
          <w:highlight w:val="yellow"/>
        </w:rPr>
        <w:t xml:space="preserve">[tarikh]</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4A" w:sz="6" w:space="2"/>
      </w:pBdr>
      <w:outlineLvl w:val="0"/>
    </w:pPr>
    <w:rPr>
      <w:rFonts w:ascii="Arial" w:cs="Arial" w:eastAsia="Arial" w:hAnsi="Arial"/>
      <w:b/>
      <w:bCs/>
      <w:color w:val="1F3A4A"/>
      <w:sz w:val="24"/>
      <w:szCs w:val="24"/>
    </w:rPr>
  </w:style>
  <w:style w:type="paragraph" w:styleId="Heading2">
    <w:name w:val="Heading 2"/>
    <w:basedOn w:val="Normal"/>
    <w:next w:val="Normal"/>
    <w:qFormat/>
    <w:pPr>
      <w:outlineLvl w:val="1"/>
    </w:pPr>
    <w:rPr>
      <w:rFonts w:ascii="Arial" w:cs="Arial" w:eastAsia="Arial" w:hAnsi="Arial"/>
      <w:b/>
      <w:bCs/>
      <w:color w:val="2F5D6E"/>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Kursus Luar Negara PRESTIJ 2026</dc:title>
  <dc:creator>Dr Alvin Auh Min Han</dc:creator>
  <cp:lastModifiedBy>Un-named</cp:lastModifiedBy>
  <cp:revision>1</cp:revision>
  <dcterms:created xsi:type="dcterms:W3CDTF">2026-10-14T01:38:41.894Z</dcterms:created>
  <dcterms:modified xsi:type="dcterms:W3CDTF">2026-10-14T01:38:41.894Z</dcterms:modified>
</cp:coreProperties>
</file>

<file path=docProps/custom.xml><?xml version="1.0" encoding="utf-8"?>
<Properties xmlns="http://schemas.openxmlformats.org/officeDocument/2006/custom-properties" xmlns:vt="http://schemas.openxmlformats.org/officeDocument/2006/docPropsVTypes"/>
</file>