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渠道与门店管理策略</w:t>
      </w:r>
    </w:p>
    <w:p>
      <w:r>
        <w:t>版本:v2026.09  适用范围:集团下属所有门店与渠道</w:t>
      </w:r>
    </w:p>
    <w:p>
      <w:pPr>
        <w:pStyle w:val="Heading1"/>
      </w:pPr>
      <w:r>
        <w:t>1. 渠道分类与优先级</w:t>
      </w:r>
    </w:p>
    <w:p>
      <w:r>
        <w:t>1.1 自营 APP、微信小程序为战略渠道,优先保障资源。</w:t>
      </w:r>
    </w:p>
    <w:p>
      <w:r>
        <w:t>1.2 平台渠道按利润贡献分级:A 级(毛利率≥35%)、B 级(25%-35%)、C 级(&lt;25%)。</w:t>
      </w:r>
    </w:p>
    <w:p>
      <w:r>
        <w:t>1.3 即时零售渠道定位为履约补充,重点考核履约成本与时效。</w:t>
      </w:r>
    </w:p>
    <w:p>
      <w:pPr>
        <w:pStyle w:val="Heading1"/>
      </w:pPr>
      <w:r>
        <w:t>2. 门店分级标准</w:t>
      </w:r>
    </w:p>
    <w:p>
      <w:r>
        <w:t>2.1 到店坪效 = 月均到店销售额 ÷ 营业面积;租售比 = 月均租金 ÷ 月均到店销售额。</w:t>
      </w:r>
    </w:p>
    <w:p>
      <w:r>
        <w:t>2.2 门店分级按到店坪效:A 级 ≥5000 元/㎡/月;B 级 2000-5000 元/㎡/月;C 级 1000-2000 元/㎡/月;D 级 &lt;1000 元/㎡/月。</w:t>
      </w:r>
    </w:p>
    <w:p>
      <w:r>
        <w:t>2.3 租售比 &gt;35% 的门店,不参与 2.2 分级,直接列为 D 级。</w:t>
      </w:r>
    </w:p>
    <w:p>
      <w:r>
        <w:t>2.4 D 级门店列为整改或闭店候选,处置动作按第 6 章执行。</w:t>
      </w:r>
    </w:p>
    <w:p>
      <w:r>
        <w:t>2.5 计划期内发生面积调整的门店(台账中以"面积是否调整=是"标识),其按当前面积计算的坪效口径可能失真,须在《异常与待核清单》中披露。</w:t>
      </w:r>
    </w:p>
    <w:p>
      <w:pPr>
        <w:pStyle w:val="Heading1"/>
      </w:pPr>
      <w:r>
        <w:t>3. O2O 履约规则</w:t>
      </w:r>
    </w:p>
    <w:p>
      <w:r>
        <w:t>3.1 门店发货、到店自提订单计入线上渠道收入,同时按发货/自提归属计入门店履约贡献。</w:t>
      </w:r>
    </w:p>
    <w:p>
      <w:r>
        <w:t>3.2 即时配送订单归属即时零售渠道,履约成本由渠道承担,门店作为履约节点。</w:t>
      </w:r>
    </w:p>
    <w:p>
      <w:r>
        <w:t>3.3 快递订单由中心仓发货,不计入门店履约,该部分订单不关联门店。</w:t>
      </w:r>
    </w:p>
    <w:p>
      <w:r>
        <w:t>3.4 门店发货、到店自提、即时配送订单必须关联门店ID;快递订单不关联门店ID。</w:t>
      </w:r>
    </w:p>
    <w:p>
      <w:r>
        <w:t>3.5 门店履约贡献 = 该门店当月"门店发货 + 到店自提"订单的净收入合计,计入《门店经营台账》"门店O2O履约贡献"字段。</w:t>
      </w:r>
    </w:p>
    <w:p>
      <w:r>
        <w:t>3.6 "线上订单履约单量" = 自提单量 + 门店发货单量,与渠道订单明细一致。</w:t>
      </w:r>
    </w:p>
    <w:p>
      <w:r>
        <w:t>3.7 门店仅承担履约侧的人工与包装成本(对应《门店费用》中的"履约包装"字段)。</w:t>
      </w:r>
    </w:p>
    <w:p>
      <w:pPr>
        <w:pStyle w:val="Heading1"/>
      </w:pPr>
      <w:r>
        <w:t>4. 数据来源优先级</w:t>
      </w:r>
    </w:p>
    <w:p>
      <w:r>
        <w:t>4.1 财务确认收入优先于业务系统数据。</w:t>
      </w:r>
    </w:p>
    <w:p>
      <w:r>
        <w:t>4.2 冲突时以渠道销售明细和门店台账交叉验证。</w:t>
      </w:r>
    </w:p>
    <w:p>
      <w:r>
        <w:t>4.3 无法确认时标记"待补",不得用假设补齐事实。</w:t>
      </w:r>
    </w:p>
    <w:p>
      <w:r>
        <w:t>4.4 租金口径:合同条款(租期、月租金、物业费、递增、违约金、免租期)以《华东区门店租约汇总》为准;损益与经营分析(租售比、门店盈亏)以《门店经营台账·门店费用》的"租金及物业费"为准,该字段 = 合同月租金 + 物业费。两者不一致时按 4.3 标记待补,不得自行假设。</w:t>
      </w:r>
    </w:p>
    <w:p>
      <w:pPr>
        <w:pStyle w:val="Heading1"/>
      </w:pPr>
      <w:r>
        <w:t>5. 缺失与异常处理</w:t>
      </w:r>
    </w:p>
    <w:p>
      <w:r>
        <w:t>5.1 允许披露、待补、缩小范围、局部隔离、负向结论。</w:t>
      </w:r>
    </w:p>
    <w:p>
      <w:r>
        <w:t>5.2 不得虚构事实,不得用外部数据替代题内材料。</w:t>
      </w:r>
    </w:p>
    <w:p>
      <w:pPr>
        <w:pStyle w:val="Heading1"/>
      </w:pPr>
      <w:r>
        <w:t>6. 闭店与改造条件</w:t>
      </w:r>
    </w:p>
    <w:p>
      <w:r>
        <w:t>6.1 租约到期且连续 6 个月 D 级,可启动闭店评估。</w:t>
      </w:r>
    </w:p>
    <w:p>
      <w:r>
        <w:t>6.2 租售比连续 3 个月 &gt;35%,可转为前置仓或自提点。</w:t>
      </w:r>
    </w:p>
    <w:p>
      <w:r>
        <w:t>6.3 连续月度判定按当月指标计算,不得用半年均值替代。</w:t>
      </w:r>
    </w:p>
    <w:p>
      <w:r>
        <w:t>6.4 闭店成本包含租约约定的违约金,并纳入决策依据。</w:t>
      </w:r>
    </w:p>
    <w:p>
      <w:pPr>
        <w:pStyle w:val="Heading1"/>
      </w:pPr>
      <w:r>
        <w:t>7. 促销与投放效果口径</w:t>
      </w:r>
    </w:p>
    <w:p>
      <w:r>
        <w:t>7.1 活动 ROI = 增量毛利 ÷ 活动实际费用。</w:t>
      </w:r>
    </w:p>
    <w:p>
      <w:r>
        <w:t>7.2 增量销售额 = 活动期间销售额 − 活动前销售额;增量毛利 = 增量销售额 × 活动毛利率。</w:t>
      </w:r>
    </w:p>
    <w:p>
      <w:r>
        <w:t>7.3 投放 ROI = 投放带来的支付金额 ÷ 投放金额。</w:t>
      </w:r>
    </w:p>
    <w:p>
      <w:r>
        <w:t>7.4 折扣率 = 1 − 活动价 ÷ 原价;活动价不得低于单位成本。</w:t>
      </w:r>
    </w:p>
    <w:p>
      <w:pPr>
        <w:pStyle w:val="Heading1"/>
      </w:pPr>
      <w:r>
        <w:t>8. 商品与品类等级</w:t>
      </w:r>
    </w:p>
    <w:p>
      <w:r>
        <w:t>8.1 SKU 毛利率 = (标准标价 − 单位成本) ÷ 标准标价。</w:t>
      </w:r>
    </w:p>
    <w:p>
      <w:r>
        <w:t>8.2 品类等级:A 级(毛利率≥40%)、B 级(25%-40%)、C 级(&lt;25%)。</w:t>
      </w:r>
    </w:p>
    <w:p>
      <w:r>
        <w:t>8.3 停售 SKU 不得产生新增销售;季节性 SKU 仅在适销期销售。</w:t>
      </w:r>
    </w:p>
    <w:p>
      <w:pPr>
        <w:pStyle w:val="Heading1"/>
      </w:pPr>
      <w:r>
        <w:t>9. 会员与订单口径</w:t>
      </w:r>
    </w:p>
    <w:p>
      <w:r>
        <w:t>9.1 会员注册渠道:线上渠道注册记 CH01-CH06;门店注册记为"门店",并填写注册门店ID,会员城市取注册门店所在城市。</w:t>
      </w:r>
    </w:p>
    <w:p>
      <w:r>
        <w:t>9.2 会员状态以基准日 2026-06-30 计算:最近购买 ≤60 天为活跃,61-120 天为沉睡,&gt;120 天为流失;两表中流失口径一致。</w:t>
      </w:r>
    </w:p>
    <w:p>
      <w:r>
        <w:t>9.3 RFM 分由最近购买(R)、订单数(F)、累计消费(M)综合排名得出,1-5 分,5 分最高。</w:t>
      </w:r>
    </w:p>
    <w:p>
      <w:r>
        <w:t>9.4 跨渠道购买渠道数 = 该会员购买过的不同渠道数(含门店)。</w:t>
      </w:r>
    </w:p>
    <w:p>
      <w:r>
        <w:t>9.5 会员订单类型:线下(渠道ID 为空、门店ID 必填)、线上(渠道ID 必填、门店ID 为空)、O2O(渠道ID 与门店ID 均必填)。</w:t>
      </w:r>
    </w:p>
    <w:p>
      <w:r>
        <w:t>9.6 会员累计消费以《会员订单》为口径;《渠道销售明细》的会员标识仅用于渠道归因,不重复计入会员累计消费。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