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报告提交人:渠道与门店运营策略经理</w:t>
        <w:br/>
        <w:t>报告提交日期:2026 年 07 月 05 日</w:t>
        <w:br/>
      </w:r>
      <w:r>
        <w:t>报告对象:集团 CEO、CFO、COO、董事会成员</w:t>
      </w:r>
    </w:p>
    <w:p>
      <w:pPr>
        <w:pStyle w:val="Heading1"/>
      </w:pPr>
      <w:r>
        <w:t>摘要</w:t>
      </w:r>
    </w:p>
    <w:p>
      <w:pPr>
        <w:pStyle w:val="ListNumber"/>
      </w:pPr>
      <w:r>
        <w:t>渠道规模:2026H1 六个线上渠道合计净收入 6,109,827.69 元、毛利 1,214,760.91 元,但扣除渠道费用后合计净利 -719,137.23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实现正净利(22,417.05 元,销售费用率 13.7%),其余渠道费用率均在 26.5%–38.1%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1.51,34.0%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pPr>
        <w:pStyle w:val="Heading1"/>
      </w:pPr>
      <w: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1,933,898.14 元,平均销售费用率 31.7%,合计净利 -719,137.23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渠道</w:t>
            </w:r>
          </w:p>
        </w:tc>
        <w:tc>
          <w:tcPr>
            <w:tcW w:type="dxa" w:w="1234"/>
          </w:tcPr>
          <w:p>
            <w:r>
              <w:t>净收入(元)</w:t>
            </w:r>
          </w:p>
        </w:tc>
        <w:tc>
          <w:tcPr>
            <w:tcW w:type="dxa" w:w="1234"/>
          </w:tcPr>
          <w:p>
            <w:r>
              <w:t>毛利率</w:t>
            </w:r>
          </w:p>
        </w:tc>
        <w:tc>
          <w:tcPr>
            <w:tcW w:type="dxa" w:w="1234"/>
          </w:tcPr>
          <w:p>
            <w:r>
              <w:t>销售费用率</w:t>
            </w:r>
          </w:p>
        </w:tc>
        <w:tc>
          <w:tcPr>
            <w:tcW w:type="dxa" w:w="1234"/>
          </w:tcPr>
          <w:p>
            <w:r>
              <w:t>投放ROI</w:t>
            </w:r>
          </w:p>
        </w:tc>
        <w:tc>
          <w:tcPr>
            <w:tcW w:type="dxa" w:w="1234"/>
          </w:tcPr>
          <w:p>
            <w:r>
              <w:t>净利(元)</w:t>
            </w:r>
          </w:p>
        </w:tc>
        <w:tc>
          <w:tcPr>
            <w:tcW w:type="dxa" w:w="1234"/>
          </w:tcPr>
          <w:p>
            <w:r>
              <w:t>H2 方向</w:t>
            </w:r>
          </w:p>
        </w:tc>
      </w:tr>
      <w:tr>
        <w:tc>
          <w:tcPr>
            <w:tcW w:type="dxa" w:w="1234"/>
          </w:tcPr>
          <w:p>
            <w:r>
              <w:t>天猫旗舰店</w:t>
            </w:r>
          </w:p>
        </w:tc>
        <w:tc>
          <w:tcPr>
            <w:tcW w:type="dxa" w:w="1234"/>
          </w:tcPr>
          <w:p>
            <w:r>
              <w:t>2,041,902.26</w:t>
            </w:r>
          </w:p>
        </w:tc>
        <w:tc>
          <w:tcPr>
            <w:tcW w:type="dxa" w:w="1234"/>
          </w:tcPr>
          <w:p>
            <w:r>
              <w:t>19.6%</w:t>
            </w:r>
          </w:p>
        </w:tc>
        <w:tc>
          <w:tcPr>
            <w:tcW w:type="dxa" w:w="1234"/>
          </w:tcPr>
          <w:p>
            <w:r>
              <w:t>34.6%</w:t>
            </w:r>
          </w:p>
        </w:tc>
        <w:tc>
          <w:tcPr>
            <w:tcW w:type="dxa" w:w="1234"/>
          </w:tcPr>
          <w:p>
            <w:r>
              <w:t>1.98</w:t>
            </w:r>
          </w:p>
        </w:tc>
        <w:tc>
          <w:tcPr>
            <w:tcW w:type="dxa" w:w="1234"/>
          </w:tcPr>
          <w:p>
            <w:r>
              <w:t>-306,014.54</w:t>
            </w:r>
          </w:p>
        </w:tc>
        <w:tc>
          <w:tcPr>
            <w:tcW w:type="dxa" w:w="1234"/>
          </w:tcPr>
          <w:p>
            <w:r>
              <w:t>收缩(-15%)</w:t>
            </w:r>
          </w:p>
        </w:tc>
      </w:tr>
      <w:tr>
        <w:tc>
          <w:tcPr>
            <w:tcW w:type="dxa" w:w="1234"/>
          </w:tcPr>
          <w:p>
            <w:r>
              <w:t>抖音小店</w:t>
            </w:r>
          </w:p>
        </w:tc>
        <w:tc>
          <w:tcPr>
            <w:tcW w:type="dxa" w:w="1234"/>
          </w:tcPr>
          <w:p>
            <w:r>
              <w:t>1,563,966.84</w:t>
            </w:r>
          </w:p>
        </w:tc>
        <w:tc>
          <w:tcPr>
            <w:tcW w:type="dxa" w:w="1234"/>
          </w:tcPr>
          <w:p>
            <w:r>
              <w:t>20.5%</w:t>
            </w:r>
          </w:p>
        </w:tc>
        <w:tc>
          <w:tcPr>
            <w:tcW w:type="dxa" w:w="1234"/>
          </w:tcPr>
          <w:p>
            <w:r>
              <w:t>38.1%</w:t>
            </w:r>
          </w:p>
        </w:tc>
        <w:tc>
          <w:tcPr>
            <w:tcW w:type="dxa" w:w="1234"/>
          </w:tcPr>
          <w:p>
            <w:r>
              <w:t>1.78</w:t>
            </w:r>
          </w:p>
        </w:tc>
        <w:tc>
          <w:tcPr>
            <w:tcW w:type="dxa" w:w="1234"/>
          </w:tcPr>
          <w:p>
            <w:r>
              <w:t>-274,972.42</w:t>
            </w:r>
          </w:p>
        </w:tc>
        <w:tc>
          <w:tcPr>
            <w:tcW w:type="dxa" w:w="1234"/>
          </w:tcPr>
          <w:p>
            <w:r>
              <w:t>收缩(-15%)</w:t>
            </w:r>
          </w:p>
        </w:tc>
      </w:tr>
      <w:tr>
        <w:tc>
          <w:tcPr>
            <w:tcW w:type="dxa" w:w="1234"/>
          </w:tcPr>
          <w:p>
            <w:r>
              <w:t>京东自营</w:t>
            </w:r>
          </w:p>
        </w:tc>
        <w:tc>
          <w:tcPr>
            <w:tcW w:type="dxa" w:w="1234"/>
          </w:tcPr>
          <w:p>
            <w:r>
              <w:t>1,162,383.18</w:t>
            </w:r>
          </w:p>
        </w:tc>
        <w:tc>
          <w:tcPr>
            <w:tcW w:type="dxa" w:w="1234"/>
          </w:tcPr>
          <w:p>
            <w:r>
              <w:t>20.6%</w:t>
            </w:r>
          </w:p>
        </w:tc>
        <w:tc>
          <w:tcPr>
            <w:tcW w:type="dxa" w:w="1234"/>
          </w:tcPr>
          <w:p>
            <w:r>
              <w:t>26.5%</w:t>
            </w:r>
          </w:p>
        </w:tc>
        <w:tc>
          <w:tcPr>
            <w:tcW w:type="dxa" w:w="1234"/>
          </w:tcPr>
          <w:p>
            <w:r>
              <w:t>3.15</w:t>
            </w:r>
          </w:p>
        </w:tc>
        <w:tc>
          <w:tcPr>
            <w:tcW w:type="dxa" w:w="1234"/>
          </w:tcPr>
          <w:p>
            <w:r>
              <w:t>-68,224.60</w:t>
            </w:r>
          </w:p>
        </w:tc>
        <w:tc>
          <w:tcPr>
            <w:tcW w:type="dxa" w:w="1234"/>
          </w:tcPr>
          <w:p>
            <w:r>
              <w:t>维持(+0%)</w:t>
            </w:r>
          </w:p>
        </w:tc>
      </w:tr>
      <w:tr>
        <w:tc>
          <w:tcPr>
            <w:tcW w:type="dxa" w:w="1234"/>
          </w:tcPr>
          <w:p>
            <w:r>
              <w:t>自营APP</w:t>
            </w:r>
          </w:p>
        </w:tc>
        <w:tc>
          <w:tcPr>
            <w:tcW w:type="dxa" w:w="1234"/>
          </w:tcPr>
          <w:p>
            <w:r>
              <w:t>691,728.66</w:t>
            </w:r>
          </w:p>
        </w:tc>
        <w:tc>
          <w:tcPr>
            <w:tcW w:type="dxa" w:w="1234"/>
          </w:tcPr>
          <w:p>
            <w:r>
              <w:t>18.5%</w:t>
            </w:r>
          </w:p>
        </w:tc>
        <w:tc>
          <w:tcPr>
            <w:tcW w:type="dxa" w:w="1234"/>
          </w:tcPr>
          <w:p>
            <w:r>
              <w:t>29.2%</w:t>
            </w:r>
          </w:p>
        </w:tc>
        <w:tc>
          <w:tcPr>
            <w:tcW w:type="dxa" w:w="1234"/>
          </w:tcPr>
          <w:p>
            <w:r>
              <w:t>1.83</w:t>
            </w:r>
          </w:p>
        </w:tc>
        <w:tc>
          <w:tcPr>
            <w:tcW w:type="dxa" w:w="1234"/>
          </w:tcPr>
          <w:p>
            <w:r>
              <w:t>-74,185.68</w:t>
            </w:r>
          </w:p>
        </w:tc>
        <w:tc>
          <w:tcPr>
            <w:tcW w:type="dxa" w:w="1234"/>
          </w:tcPr>
          <w:p>
            <w:r>
              <w:t>维持(+0%)</w:t>
            </w:r>
          </w:p>
        </w:tc>
      </w:tr>
      <w:tr>
        <w:tc>
          <w:tcPr>
            <w:tcW w:type="dxa" w:w="1234"/>
          </w:tcPr>
          <w:p>
            <w:r>
              <w:t>微信小程序</w:t>
            </w:r>
          </w:p>
        </w:tc>
        <w:tc>
          <w:tcPr>
            <w:tcW w:type="dxa" w:w="1234"/>
          </w:tcPr>
          <w:p>
            <w:r>
              <w:t>411,486.74</w:t>
            </w:r>
          </w:p>
        </w:tc>
        <w:tc>
          <w:tcPr>
            <w:tcW w:type="dxa" w:w="1234"/>
          </w:tcPr>
          <w:p>
            <w:r>
              <w:t>19.2%</w:t>
            </w:r>
          </w:p>
        </w:tc>
        <w:tc>
          <w:tcPr>
            <w:tcW w:type="dxa" w:w="1234"/>
          </w:tcPr>
          <w:p>
            <w:r>
              <w:t>13.7%</w:t>
            </w:r>
          </w:p>
        </w:tc>
        <w:tc>
          <w:tcPr>
            <w:tcW w:type="dxa" w:w="1234"/>
          </w:tcPr>
          <w:p>
            <w:r>
              <w:t>4.63</w:t>
            </w:r>
          </w:p>
        </w:tc>
        <w:tc>
          <w:tcPr>
            <w:tcW w:type="dxa" w:w="1234"/>
          </w:tcPr>
          <w:p>
            <w:r>
              <w:t>22,417.05</w:t>
            </w:r>
          </w:p>
        </w:tc>
        <w:tc>
          <w:tcPr>
            <w:tcW w:type="dxa" w:w="1234"/>
          </w:tcPr>
          <w:p>
            <w:r>
              <w:t>增投(+20%)</w:t>
            </w:r>
          </w:p>
        </w:tc>
      </w:tr>
      <w:tr>
        <w:tc>
          <w:tcPr>
            <w:tcW w:type="dxa" w:w="1234"/>
          </w:tcPr>
          <w:p>
            <w:r>
              <w:t>美团闪购</w:t>
            </w:r>
          </w:p>
        </w:tc>
        <w:tc>
          <w:tcPr>
            <w:tcW w:type="dxa" w:w="1234"/>
          </w:tcPr>
          <w:p>
            <w:r>
              <w:t>238,360.01</w:t>
            </w:r>
          </w:p>
        </w:tc>
        <w:tc>
          <w:tcPr>
            <w:tcW w:type="dxa" w:w="1234"/>
          </w:tcPr>
          <w:p>
            <w:r>
              <w:t>20.2%</w:t>
            </w:r>
          </w:p>
        </w:tc>
        <w:tc>
          <w:tcPr>
            <w:tcW w:type="dxa" w:w="1234"/>
          </w:tcPr>
          <w:p>
            <w:r>
              <w:t>27.8%</w:t>
            </w:r>
          </w:p>
        </w:tc>
        <w:tc>
          <w:tcPr>
            <w:tcW w:type="dxa" w:w="1234"/>
          </w:tcPr>
          <w:p>
            <w:r>
              <w:t>3.05</w:t>
            </w:r>
          </w:p>
        </w:tc>
        <w:tc>
          <w:tcPr>
            <w:tcW w:type="dxa" w:w="1234"/>
          </w:tcPr>
          <w:p>
            <w:r>
              <w:t>-18,157.04</w:t>
            </w:r>
          </w:p>
        </w:tc>
        <w:tc>
          <w:tcPr>
            <w:tcW w:type="dxa" w:w="1234"/>
          </w:tcPr>
          <w:p>
            <w:r>
              <w:t>维持(+0%)</w:t>
            </w:r>
          </w:p>
        </w:tc>
      </w:tr>
    </w:tbl>
    <w:p/>
    <w:p>
      <w:r>
        <w:t>结论与建议:① 对 微信小程序 增投 20%(唯一正净利渠道,销售费用率仅 13.7%);②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pPr>
        <w:pStyle w:val="Heading1"/>
      </w:pPr>
      <w:r>
        <w:t>第 2 章 门店经营诊断、分级与调整建议</w:t>
      </w:r>
    </w:p>
    <w:p>
      <w:r>
        <w:t>42 家门店 2026H1 累计到店销售额 76,392,804.70 元,累计门店 O2O 履约贡献 2,851,342.38 元。按《渠道与门店管理策略》第 2 章规则(先按到店坪效定级,租售比 &gt;35% 直接列为 D 级):A 级 3 家、B 级 29 家、C 级 3 家、D 级 7 家,全部门店均给出级别,无无法归类的门店。</w:t>
      </w:r>
    </w:p>
    <w:p>
      <w:r>
        <w:t>D 级门店 7 家中,2 家同时满足「租约在 2026H2 内到期」与「连续 6 个月 D 级」两项闭店条件,建议启动闭店评估;其余 D 级门店租约未到期,建议按转前置仓/自提点方向评估。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门店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到店坪效(元/㎡/月)</w:t>
            </w:r>
          </w:p>
        </w:tc>
        <w:tc>
          <w:tcPr>
            <w:tcW w:type="dxa" w:w="1728"/>
          </w:tcPr>
          <w:p>
            <w:r>
              <w:t>租售比</w:t>
            </w:r>
          </w:p>
        </w:tc>
        <w:tc>
          <w:tcPr>
            <w:tcW w:type="dxa" w:w="1728"/>
          </w:tcPr>
          <w:p>
            <w:r>
              <w:t>调整建议</w:t>
            </w:r>
          </w:p>
        </w:tc>
      </w:tr>
      <w:tr>
        <w:tc>
          <w:tcPr>
            <w:tcW w:type="dxa" w:w="1728"/>
          </w:tcPr>
          <w:p>
            <w:r>
              <w:t>S029</w:t>
            </w:r>
          </w:p>
        </w:tc>
        <w:tc>
          <w:tcPr>
            <w:tcW w:type="dxa" w:w="1728"/>
          </w:tcPr>
          <w:p>
            <w:r>
              <w:t>华南</w:t>
            </w:r>
          </w:p>
        </w:tc>
        <w:tc>
          <w:tcPr>
            <w:tcW w:type="dxa" w:w="1728"/>
          </w:tcPr>
          <w:p>
            <w:r>
              <w:t>539</w:t>
            </w:r>
          </w:p>
        </w:tc>
        <w:tc>
          <w:tcPr>
            <w:tcW w:type="dxa" w:w="1728"/>
          </w:tcPr>
          <w:p>
            <w:r>
              <w:t>138.8%</w:t>
            </w:r>
          </w:p>
        </w:tc>
        <w:tc>
          <w:tcPr>
            <w:tcW w:type="dxa" w:w="1728"/>
          </w:tcPr>
          <w:p>
            <w:r>
              <w:t>关停(启动闭店评估)</w:t>
            </w:r>
          </w:p>
        </w:tc>
      </w:tr>
      <w:tr>
        <w:tc>
          <w:tcPr>
            <w:tcW w:type="dxa" w:w="1728"/>
          </w:tcPr>
          <w:p>
            <w:r>
              <w:t>S034</w:t>
            </w:r>
          </w:p>
        </w:tc>
        <w:tc>
          <w:tcPr>
            <w:tcW w:type="dxa" w:w="1728"/>
          </w:tcPr>
          <w:p>
            <w:r>
              <w:t>华北</w:t>
            </w:r>
          </w:p>
        </w:tc>
        <w:tc>
          <w:tcPr>
            <w:tcW w:type="dxa" w:w="1728"/>
          </w:tcPr>
          <w:p>
            <w:r>
              <w:t>578</w:t>
            </w:r>
          </w:p>
        </w:tc>
        <w:tc>
          <w:tcPr>
            <w:tcW w:type="dxa" w:w="1728"/>
          </w:tcPr>
          <w:p>
            <w:r>
              <w:t>132.3%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S023</w:t>
            </w:r>
          </w:p>
        </w:tc>
        <w:tc>
          <w:tcPr>
            <w:tcW w:type="dxa" w:w="1728"/>
          </w:tcPr>
          <w:p>
            <w:r>
              <w:t>华南</w:t>
            </w:r>
          </w:p>
        </w:tc>
        <w:tc>
          <w:tcPr>
            <w:tcW w:type="dxa" w:w="1728"/>
          </w:tcPr>
          <w:p>
            <w:r>
              <w:t>823</w:t>
            </w:r>
          </w:p>
        </w:tc>
        <w:tc>
          <w:tcPr>
            <w:tcW w:type="dxa" w:w="1728"/>
          </w:tcPr>
          <w:p>
            <w:r>
              <w:t>64.8%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S017</w:t>
            </w:r>
          </w:p>
        </w:tc>
        <w:tc>
          <w:tcPr>
            <w:tcW w:type="dxa" w:w="1728"/>
          </w:tcPr>
          <w:p>
            <w:r>
              <w:t>华东</w:t>
            </w:r>
          </w:p>
        </w:tc>
        <w:tc>
          <w:tcPr>
            <w:tcW w:type="dxa" w:w="1728"/>
          </w:tcPr>
          <w:p>
            <w:r>
              <w:t>1298</w:t>
            </w:r>
          </w:p>
        </w:tc>
        <w:tc>
          <w:tcPr>
            <w:tcW w:type="dxa" w:w="1728"/>
          </w:tcPr>
          <w:p>
            <w:r>
              <w:t>43.4%</w:t>
            </w:r>
          </w:p>
        </w:tc>
        <w:tc>
          <w:tcPr>
            <w:tcW w:type="dxa" w:w="1728"/>
          </w:tcPr>
          <w:p>
            <w:r>
              <w:t>关停(启动闭店评估)</w:t>
            </w:r>
          </w:p>
        </w:tc>
      </w:tr>
      <w:tr>
        <w:tc>
          <w:tcPr>
            <w:tcW w:type="dxa" w:w="1728"/>
          </w:tcPr>
          <w:p>
            <w:r>
              <w:t>S033</w:t>
            </w:r>
          </w:p>
        </w:tc>
        <w:tc>
          <w:tcPr>
            <w:tcW w:type="dxa" w:w="1728"/>
          </w:tcPr>
          <w:p>
            <w:r>
              <w:t>华北</w:t>
            </w:r>
          </w:p>
        </w:tc>
        <w:tc>
          <w:tcPr>
            <w:tcW w:type="dxa" w:w="1728"/>
          </w:tcPr>
          <w:p>
            <w:r>
              <w:t>1790</w:t>
            </w:r>
          </w:p>
        </w:tc>
        <w:tc>
          <w:tcPr>
            <w:tcW w:type="dxa" w:w="1728"/>
          </w:tcPr>
          <w:p>
            <w:r>
              <w:t>42.0%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S012</w:t>
            </w:r>
          </w:p>
        </w:tc>
        <w:tc>
          <w:tcPr>
            <w:tcW w:type="dxa" w:w="1728"/>
          </w:tcPr>
          <w:p>
            <w:r>
              <w:t>华东</w:t>
            </w:r>
          </w:p>
        </w:tc>
        <w:tc>
          <w:tcPr>
            <w:tcW w:type="dxa" w:w="1728"/>
          </w:tcPr>
          <w:p>
            <w:r>
              <w:t>1980</w:t>
            </w:r>
          </w:p>
        </w:tc>
        <w:tc>
          <w:tcPr>
            <w:tcW w:type="dxa" w:w="1728"/>
          </w:tcPr>
          <w:p>
            <w:r>
              <w:t>37.8%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S028</w:t>
            </w:r>
          </w:p>
        </w:tc>
        <w:tc>
          <w:tcPr>
            <w:tcW w:type="dxa" w:w="1728"/>
          </w:tcPr>
          <w:p>
            <w:r>
              <w:t>华南</w:t>
            </w:r>
          </w:p>
        </w:tc>
        <w:tc>
          <w:tcPr>
            <w:tcW w:type="dxa" w:w="1728"/>
          </w:tcPr>
          <w:p>
            <w:r>
              <w:t>1991</w:t>
            </w:r>
          </w:p>
        </w:tc>
        <w:tc>
          <w:tcPr>
            <w:tcW w:type="dxa" w:w="1728"/>
          </w:tcPr>
          <w:p>
            <w:r>
              <w:t>36.8%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</w:tbl>
    <w:p/>
    <w:p>
      <w:r>
        <w:t>另有 3 家门店计划期内发生面积调整(S006, S013, S031),其坪效口径可能失真,已在《异常与待核清单》披露。</w:t>
      </w:r>
    </w:p>
    <w:p>
      <w:pPr>
        <w:pStyle w:val="Heading1"/>
      </w:pPr>
      <w:r>
        <w:t>第 3 章 促销组合效果评估与 H2 节奏建议</w:t>
      </w:r>
    </w:p>
    <w:p>
      <w:r>
        <w:t>2026H1 共开展 50 个促销活动,实际费用合计 416,195.53 元,带来增量销售额 2,643,555.72 元、增量毛利 600,336.14 元,整体 ROI 1.44。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活动类型</w:t>
            </w:r>
          </w:p>
        </w:tc>
        <w:tc>
          <w:tcPr>
            <w:tcW w:type="dxa" w:w="2160"/>
          </w:tcPr>
          <w:p>
            <w:r>
              <w:t>活动数</w:t>
            </w:r>
          </w:p>
        </w:tc>
        <w:tc>
          <w:tcPr>
            <w:tcW w:type="dxa" w:w="2160"/>
          </w:tcPr>
          <w:p>
            <w:r>
              <w:t>中位 ROI</w:t>
            </w:r>
          </w:p>
        </w:tc>
        <w:tc>
          <w:tcPr>
            <w:tcW w:type="dxa" w:w="2160"/>
          </w:tcPr>
          <w:p>
            <w:r>
              <w:t>整体 ROI</w:t>
            </w:r>
          </w:p>
        </w:tc>
      </w:tr>
      <w:tr>
        <w:tc>
          <w:tcPr>
            <w:tcW w:type="dxa" w:w="2160"/>
          </w:tcPr>
          <w:p>
            <w:r>
              <w:t>节日促销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2.18</w:t>
            </w:r>
          </w:p>
        </w:tc>
        <w:tc>
          <w:tcPr>
            <w:tcW w:type="dxa" w:w="2160"/>
          </w:tcPr>
          <w:p>
            <w:r>
              <w:t>2.40</w:t>
            </w:r>
          </w:p>
        </w:tc>
      </w:tr>
      <w:tr>
        <w:tc>
          <w:tcPr>
            <w:tcW w:type="dxa" w:w="2160"/>
          </w:tcPr>
          <w:p>
            <w:r>
              <w:t>直播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1.60</w:t>
            </w:r>
          </w:p>
        </w:tc>
        <w:tc>
          <w:tcPr>
            <w:tcW w:type="dxa" w:w="2160"/>
          </w:tcPr>
          <w:p>
            <w:r>
              <w:t>1.46</w:t>
            </w:r>
          </w:p>
        </w:tc>
      </w:tr>
      <w:tr>
        <w:tc>
          <w:tcPr>
            <w:tcW w:type="dxa" w:w="2160"/>
          </w:tcPr>
          <w:p>
            <w:r>
              <w:t>满减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1.34</w:t>
            </w:r>
          </w:p>
        </w:tc>
        <w:tc>
          <w:tcPr>
            <w:tcW w:type="dxa" w:w="2160"/>
          </w:tcPr>
          <w:p>
            <w:r>
              <w:t>1.42</w:t>
            </w:r>
          </w:p>
        </w:tc>
      </w:tr>
      <w:tr>
        <w:tc>
          <w:tcPr>
            <w:tcW w:type="dxa" w:w="2160"/>
          </w:tcPr>
          <w:p>
            <w:r>
              <w:t>折扣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1.46</w:t>
            </w:r>
          </w:p>
        </w:tc>
        <w:tc>
          <w:tcPr>
            <w:tcW w:type="dxa" w:w="2160"/>
          </w:tcPr>
          <w:p>
            <w:r>
              <w:t>1.35</w:t>
            </w:r>
          </w:p>
        </w:tc>
      </w:tr>
      <w:tr>
        <w:tc>
          <w:tcPr>
            <w:tcW w:type="dxa" w:w="2160"/>
          </w:tcPr>
          <w:p>
            <w:r>
              <w:t>会员日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1.08</w:t>
            </w:r>
          </w:p>
        </w:tc>
        <w:tc>
          <w:tcPr>
            <w:tcW w:type="dxa" w:w="2160"/>
          </w:tcPr>
          <w:p>
            <w:r>
              <w:t>1.18</w:t>
            </w:r>
          </w:p>
        </w:tc>
      </w:tr>
    </w:tbl>
    <w:p/>
    <w:p>
      <w:r>
        <w:t>按本报告自定阈值(ROI ≥2 保留、1≤ROI&lt;2 调整、ROI&lt;1 取消),建议保留 20 个、调整 13 个、取消 17 个;H2 节奏建议见交付物 4 的「H2 节奏建议」Sheet,预算按 H1 实际费用水平分配到 6 个月,重点保障双 11、双 12 等大促节点。</w:t>
      </w:r>
    </w:p>
    <w:p>
      <w:pPr>
        <w:pStyle w:val="Heading1"/>
      </w:pPr>
      <w: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pPr>
        <w:pStyle w:val="Heading1"/>
      </w:pPr>
      <w:r>
        <w:t>第 5 章 H2 资源再配置方案与执行优先级</w:t>
      </w:r>
    </w:p>
    <w:p>
      <w:r>
        <w:t>营销预算:按渠道调整方向再分配,H1 广告费合计 980,301.16 元;收缩渠道释放的投放额度优先转入 微信小程序 与高 ROI 促销类型。</w:t>
      </w:r>
    </w:p>
    <w:p>
      <w:r>
        <w:t>门店资源:D 级门店按闭店/转型路径处置,预计释放人力与租金;C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级」条件的门店闭店评估,测算违约金与释放成本;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 D 级门店转前置仓/自提点试点;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pPr>
        <w:pStyle w:val="Heading1"/>
      </w:pPr>
      <w: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结论类别</w:t>
            </w:r>
          </w:p>
        </w:tc>
        <w:tc>
          <w:tcPr>
            <w:tcW w:type="dxa" w:w="2880"/>
          </w:tcPr>
          <w:p>
            <w:r>
              <w:t>依据文件</w:t>
            </w:r>
          </w:p>
        </w:tc>
        <w:tc>
          <w:tcPr>
            <w:tcW w:type="dxa" w:w="2880"/>
          </w:tcPr>
          <w:p>
            <w:r>
              <w:t>具体 Sheet / 字段</w:t>
            </w:r>
          </w:p>
        </w:tc>
      </w:tr>
      <w:tr>
        <w:tc>
          <w:tcPr>
            <w:tcW w:type="dxa" w:w="2880"/>
          </w:tcPr>
          <w:p>
            <w:r>
              <w:t>渠道净收入、毛利、客单价</w:t>
            </w:r>
          </w:p>
        </w:tc>
        <w:tc>
          <w:tcPr>
            <w:tcW w:type="dxa" w:w="2880"/>
          </w:tcPr>
          <w:p>
            <w:r>
              <w:t>《2026H1渠道销售明细.xlsx》</w:t>
            </w:r>
          </w:p>
        </w:tc>
        <w:tc>
          <w:tcPr>
            <w:tcW w:type="dxa" w:w="2880"/>
          </w:tcPr>
          <w:p>
            <w:r>
              <w:t>渠道月度汇总 Sheet(净收入/毛利/客单价)</w:t>
            </w:r>
          </w:p>
        </w:tc>
      </w:tr>
      <w:tr>
        <w:tc>
          <w:tcPr>
            <w:tcW w:type="dxa" w:w="2880"/>
          </w:tcPr>
          <w:p>
            <w:r>
              <w:t>渠道费用与渠道净利</w:t>
            </w:r>
          </w:p>
        </w:tc>
        <w:tc>
          <w:tcPr>
            <w:tcW w:type="dxa" w:w="2880"/>
          </w:tcPr>
          <w:p>
            <w:r>
              <w:t>《2026H1线上投放与平台费用.xlsx》</w:t>
            </w:r>
          </w:p>
        </w:tc>
        <w:tc>
          <w:tcPr>
            <w:tcW w:type="dxa" w:w="2880"/>
          </w:tcPr>
          <w:p>
            <w: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</w:tcPr>
          <w:p>
            <w:r>
              <w:t>投放 ROI</w:t>
            </w:r>
          </w:p>
        </w:tc>
        <w:tc>
          <w:tcPr>
            <w:tcW w:type="dxa" w:w="2880"/>
          </w:tcPr>
          <w:p>
            <w:r>
              <w:t>《2026H1线上投放与平台费用.xlsx》</w:t>
            </w:r>
          </w:p>
        </w:tc>
        <w:tc>
          <w:tcPr>
            <w:tcW w:type="dxa" w:w="2880"/>
          </w:tcPr>
          <w:p>
            <w:r>
              <w:t>投放明细 Sheet(支付金额 ÷ 投放金额)</w:t>
            </w:r>
          </w:p>
        </w:tc>
      </w:tr>
      <w:tr>
        <w:tc>
          <w:tcPr>
            <w:tcW w:type="dxa" w:w="2880"/>
          </w:tcPr>
          <w:p>
            <w:r>
              <w:t>门店到店销售、坪效、租售比</w:t>
            </w:r>
          </w:p>
        </w:tc>
        <w:tc>
          <w:tcPr>
            <w:tcW w:type="dxa" w:w="2880"/>
          </w:tcPr>
          <w:p>
            <w:r>
              <w:t>《2026H1门店经营台账.xlsx》</w:t>
            </w:r>
          </w:p>
        </w:tc>
        <w:tc>
          <w:tcPr>
            <w:tcW w:type="dxa" w:w="2880"/>
          </w:tcPr>
          <w:p>
            <w: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</w:tcPr>
          <w:p>
            <w:r>
              <w:t>门店 O2O 履约贡献</w:t>
            </w:r>
          </w:p>
        </w:tc>
        <w:tc>
          <w:tcPr>
            <w:tcW w:type="dxa" w:w="2880"/>
          </w:tcPr>
          <w:p>
            <w:r>
              <w:t>《2026H1渠道销售明细.xlsx》 + 《2026H1门店经营台账.xlsx》 交叉聚合</w:t>
            </w:r>
          </w:p>
        </w:tc>
        <w:tc>
          <w:tcPr>
            <w:tcW w:type="dxa" w:w="2880"/>
          </w:tcPr>
          <w:p>
            <w: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</w:tcPr>
          <w:p>
            <w:r>
              <w:t>门店分级与调整建议</w:t>
            </w:r>
          </w:p>
        </w:tc>
        <w:tc>
          <w:tcPr>
            <w:tcW w:type="dxa" w:w="2880"/>
          </w:tcPr>
          <w:p>
            <w:r>
              <w:t>《渠道与门店管理策略.docx》</w:t>
            </w:r>
          </w:p>
        </w:tc>
        <w:tc>
          <w:tcPr>
            <w:tcW w:type="dxa" w:w="2880"/>
          </w:tcPr>
          <w:p>
            <w:r>
              <w:t>第 2 章门店分级标准(2.1–2.3)、第 6 章闭店与改造条件(6.1–6.4)</w:t>
            </w:r>
          </w:p>
        </w:tc>
      </w:tr>
      <w:tr>
        <w:tc>
          <w:tcPr>
            <w:tcW w:type="dxa" w:w="2880"/>
          </w:tcPr>
          <w:p>
            <w:r>
              <w:t>闭店约束(租期/违约金)</w:t>
            </w:r>
          </w:p>
        </w:tc>
        <w:tc>
          <w:tcPr>
            <w:tcW w:type="dxa" w:w="2880"/>
          </w:tcPr>
          <w:p>
            <w:r>
              <w:t>《华东区门店租约汇总.docx》</w:t>
            </w:r>
          </w:p>
        </w:tc>
        <w:tc>
          <w:tcPr>
            <w:tcW w:type="dxa" w:w="2880"/>
          </w:tcPr>
          <w:p>
            <w:r>
              <w:t>逐门店:租期结束、闭店条件</w:t>
            </w:r>
          </w:p>
        </w:tc>
      </w:tr>
      <w:tr>
        <w:tc>
          <w:tcPr>
            <w:tcW w:type="dxa" w:w="2880"/>
          </w:tcPr>
          <w:p>
            <w:r>
              <w:t>促销 ROI 与类型效果</w:t>
            </w:r>
          </w:p>
        </w:tc>
        <w:tc>
          <w:tcPr>
            <w:tcW w:type="dxa" w:w="2880"/>
          </w:tcPr>
          <w:p>
            <w:r>
              <w:t>《2026H1促销活动记录.xlsx》</w:t>
            </w:r>
          </w:p>
        </w:tc>
        <w:tc>
          <w:tcPr>
            <w:tcW w:type="dxa" w:w="2880"/>
          </w:tcPr>
          <w:p>
            <w: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</w:tcPr>
          <w:p>
            <w:r>
              <w:t>会员结构、复购与跨渠道</w:t>
            </w:r>
          </w:p>
        </w:tc>
        <w:tc>
          <w:tcPr>
            <w:tcW w:type="dxa" w:w="2880"/>
          </w:tcPr>
          <w:p>
            <w:r>
              <w:t>《2026H1会员与跨渠道订单.xlsx》</w:t>
            </w:r>
          </w:p>
        </w:tc>
        <w:tc>
          <w:tcPr>
            <w:tcW w:type="dxa" w:w="2880"/>
          </w:tcPr>
          <w:p>
            <w:r>
              <w:t>会员基础/会员订单/跨渠道行为 Sheet</w:t>
            </w:r>
          </w:p>
        </w:tc>
      </w:tr>
      <w:tr>
        <w:tc>
          <w:tcPr>
            <w:tcW w:type="dxa" w:w="2880"/>
          </w:tcPr>
          <w:p>
            <w:r>
              <w:t>SKU 成本与品类等级</w:t>
            </w:r>
          </w:p>
        </w:tc>
        <w:tc>
          <w:tcPr>
            <w:tcW w:type="dxa" w:w="2880"/>
          </w:tcPr>
          <w:p>
            <w:r>
              <w:t>《SKU主数据.xlsx》</w:t>
            </w:r>
          </w:p>
        </w:tc>
        <w:tc>
          <w:tcPr>
            <w:tcW w:type="dxa" w:w="2880"/>
          </w:tcPr>
          <w:p>
            <w:r>
              <w:t>SKU主数据 Sheet(单位成本/标准标价/品类等级)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