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7A8C"/>
          <w:sz w:val="20"/>
        </w:rPr>
        <w:t>COO OFFICE  ·  DECISION BRIEF</w:t>
      </w:r>
    </w:p>
    <w:p>
      <w:pPr>
        <w:jc w:val="center"/>
      </w:pPr>
      <w:r>
        <w:rPr>
          <w:rFonts w:ascii="微软雅黑" w:hAnsi="微软雅黑" w:eastAsia="微软雅黑"/>
          <w:b/>
          <w:color w:val="17365D"/>
          <w:sz w:val="56"/>
        </w:rPr>
        <w:t>2026H2</w:t>
        <w:br/>
        <w:t>渠道与门店经营策略报告</w:t>
      </w:r>
    </w:p>
    <w:p>
      <w:pPr>
        <w:jc w:val="center"/>
      </w:pPr>
      <w:r>
        <w:rPr>
          <w:color w:val="2F75B5"/>
          <w:sz w:val="26"/>
        </w:rPr>
        <w:t>用 H1 事实确定资源流向、门店动作与营销节奏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7365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报告期</w:t>
            </w:r>
          </w:p>
        </w:tc>
        <w:tc>
          <w:tcPr>
            <w:tcW w:type="dxa" w:w="4933"/>
            <w:vAlign w:val="center"/>
            <w:shd w:fill="F1F5F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回顾：2026-01-01—2026-06-30  |  建议：2026-07-01—2026-12-31</w:t>
            </w:r>
          </w:p>
        </w:tc>
      </w:tr>
      <w:tr>
        <w:tc>
          <w:tcPr>
            <w:tcW w:type="dxa" w:w="4933"/>
            <w:vAlign w:val="center"/>
            <w:shd w:fill="17365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提交人</w:t>
            </w:r>
          </w:p>
        </w:tc>
        <w:tc>
          <w:tcPr>
            <w:tcW w:type="dxa" w:w="4933"/>
            <w:vAlign w:val="center"/>
            <w:shd w:fill="F1F5F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渠道与门店运营策略经理</w:t>
            </w:r>
          </w:p>
        </w:tc>
      </w:tr>
      <w:tr>
        <w:tc>
          <w:tcPr>
            <w:tcW w:type="dxa" w:w="4933"/>
            <w:vAlign w:val="center"/>
            <w:shd w:fill="17365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933"/>
            <w:vAlign w:val="center"/>
            <w:shd w:fill="F1F5F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2026年7月31日</w:t>
            </w:r>
          </w:p>
        </w:tc>
      </w:tr>
      <w:tr>
        <w:tc>
          <w:tcPr>
            <w:tcW w:type="dxa" w:w="4933"/>
            <w:vAlign w:val="center"/>
            <w:shd w:fill="17365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报告对象</w:t>
            </w:r>
          </w:p>
        </w:tc>
        <w:tc>
          <w:tcPr>
            <w:tcW w:type="dxa" w:w="4933"/>
            <w:vAlign w:val="center"/>
            <w:shd w:fill="F1F5F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集团 CEO、CFO、COO、董事会成员及财务/运营/营销负责人</w:t>
            </w:r>
          </w:p>
        </w:tc>
      </w:tr>
      <w:tr>
        <w:tc>
          <w:tcPr>
            <w:tcW w:type="dxa" w:w="4933"/>
            <w:vAlign w:val="center"/>
            <w:shd w:fill="17365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决策性质</w:t>
            </w:r>
          </w:p>
        </w:tc>
        <w:tc>
          <w:tcPr>
            <w:tcW w:type="dxa" w:w="4933"/>
            <w:vAlign w:val="center"/>
            <w:shd w:fill="F1F5F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条件性资源建议；最终金额以H2预算审批与待核事项关闭为准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1F7A8C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EAF2F8"/>
          </w:tcPr>
          <w:p>
            <w:r/>
            <w:r>
              <w:rPr>
                <w:b/>
                <w:color w:val="1F7A8C"/>
              </w:rPr>
              <w:t xml:space="preserve">一句话结论  </w:t>
            </w:r>
            <w:r>
              <w:t>资源从低效平台投放与低ROI活动撤出，优先保障微信小程序和会员资产；同步启动2店到期退出、4店业态转换核验，并以排班数据而非人工费用推定编制。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决策导航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管理问题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建议答案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决策状态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渠道往哪调？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CH02增投20%；CH01战略维持但广告-15%；CH03/04/05分别-25%/-10%/-30%；CH06维持上限。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金额均为建议值，见EX-001/005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门店先动谁？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S017、S029闭店评估；S012/S023/S028/S034转前置仓或自提点核验；14店费用/经营整改。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2店合同紧迫；4店核验后执行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促销怎么取舍？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30项保留、12项调整、8项取消；组合重心为节日促销/直播/满减，会员日保留战略作用但收紧ROI。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需H2日历与总预算，见EX-002/003/004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会员先抓谁？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活跃高RFM做留存与跨渠道；沉睡高RFM做唤醒；平台单渠道会员先迁移至APP/小程序再收缩。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会员口径独立，见EX-012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人力怎么配？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先按到店强度和O2O负荷排班审计；转换/闭店后再迁移工时，不直接按人工费折人数。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缺编制/工时，见EX-010</w:t>
            </w:r>
          </w:p>
        </w:tc>
      </w:tr>
    </w:tbl>
    <w:p>
      <w:pPr>
        <w:spacing w:after="20"/>
      </w:pPr>
    </w:p>
    <w:p>
      <w:pPr>
        <w:pStyle w:val="Heading2"/>
      </w:pPr>
      <w:r>
        <w:t>口径与阅读标识</w:t>
      </w:r>
    </w:p>
    <w:p>
      <w:pPr>
        <w:pStyle w:val="ListBullet"/>
      </w:pPr>
      <w:r>
        <w:t>已确认事实：直接来自材料或按制度公式复算；金额均为人民币元。</w:t>
      </w:r>
    </w:p>
    <w:p>
      <w:pPr>
        <w:pStyle w:val="ListBullet"/>
      </w:pPr>
      <w:r>
        <w:t>分析判断：在事实之上形成的经营取舍；资源系数与促销动作阈值是本报告建议，不是既有制度。</w:t>
      </w:r>
    </w:p>
    <w:p>
      <w:pPr>
        <w:pStyle w:val="ListBullet"/>
      </w:pPr>
      <w:r>
        <w:t>待核/条件性：由异常编号 EX-001—EX-016 标识；关闭前不得转为批准预算或不可逆处置。</w:t>
      </w:r>
    </w:p>
    <w:p>
      <w:pPr>
        <w:pStyle w:val="ListBullet"/>
      </w:pPr>
      <w:r>
        <w:t>净收入=收入−退款；渠道毛利=净收入−商品成本（全额退款成本不冲回）；投放ROI=支付金额÷投放金额；活动ROI=增量毛利÷实际费用。</w:t>
      </w:r>
    </w:p>
    <w:p>
      <w:r>
        <w:br w:type="page"/>
      </w:r>
    </w:p>
    <w:p>
      <w:pPr>
        <w:pStyle w:val="Title"/>
      </w:pPr>
      <w:r>
        <w:t>执行摘要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2F75B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EAF2F8"/>
          </w:tcPr>
          <w:p>
            <w:r/>
            <w:r>
              <w:rPr>
                <w:b/>
                <w:color w:val="2F75B5"/>
              </w:rPr>
              <w:t xml:space="preserve">1｜渠道利润池需要重构  </w:t>
            </w:r>
            <w:r>
              <w:t>6渠道H1净收入¥6,109,827.69、毛利¥1,214,760.91（毛利率19.9%），渠道净利合计¥-718,839.10；只有CH02为正。建议广告盘较H1同额基准净减¥207,830.93，但这是静态节费，不是利润预测。[K-01][K-02]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1F7A8C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EAF2F8"/>
          </w:tcPr>
          <w:p>
            <w:r/>
            <w:r>
              <w:rPr>
                <w:b/>
                <w:color w:val="1F7A8C"/>
              </w:rPr>
              <w:t xml:space="preserve">2｜42店动作已经落到单店  </w:t>
            </w:r>
            <w:r>
              <w:t>H1到店销售¥76,392,804.70、门店经营收益¥-1,617,108.45。分级为A 3/B 29/C 3/D 7；建议22店维持、14店整改、4店转型核验、2店闭店评估。[K-05][K-07]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BF90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FFF2CC"/>
          </w:tcPr>
          <w:p>
            <w:r/>
            <w:r>
              <w:rPr>
                <w:b/>
                <w:color w:val="BF9000"/>
              </w:rPr>
              <w:t xml:space="preserve">3｜促销总体有回报，但不能相加当真实增量  </w:t>
            </w:r>
            <w:r>
              <w:t>50项实际费用¥416,195.53、制度口径增量毛利¥493,870.11、组合表观ROI 1.19。28组并行窗口涉及34项活动，存在重复归因；先取消8项ROI&lt;0.5活动，再做互斥排期。[K-08][K-09]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2F75B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EAF2F8"/>
          </w:tcPr>
          <w:p>
            <w:r/>
            <w:r>
              <w:rPr>
                <w:b/>
                <w:color w:val="2F75B5"/>
              </w:rPr>
              <w:t xml:space="preserve">4｜会员价值在跨渠道，但收缩前要先迁移  </w:t>
            </w:r>
            <w:r>
              <w:t>2,500名会员中活跃1,132、沉睡785、流失583；跨渠道会员1,366人贡献¥1,197,920.27，占会员消费79.0%。CH03/04/05共有610名仅在各自渠道购买的会员，投放收缩需先导向APP/小程序。[K-10][K-11]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C659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FCE4D6"/>
          </w:tcPr>
          <w:p>
            <w:r/>
            <w:r>
              <w:rPr>
                <w:b/>
                <w:color w:val="C65911"/>
              </w:rPr>
              <w:t xml:space="preserve">5｜先做可逆动作，再做合同动作  </w:t>
            </w:r>
            <w:r>
              <w:t>立即冻结低ROI活动与低效投放增量；7月完成面积、改造容量、通知状态和H2预算核验；S029通知节点最紧，S017须在8月前决定不续租。不可把缺少的编制、容量、弹性或改造费写成确定收益。[K-12]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 1 章  渠道结构诊断与 H2 资源调整建议</w:t>
      </w:r>
    </w:p>
    <w:p>
      <w:pPr>
        <w:pStyle w:val="Heading2"/>
      </w:pPr>
      <w:r>
        <w:t>1.1 规模、收入质量与费用效率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cantSplit/>
        </w:trPr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净收入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退款率¹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毛利率²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成本率³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广告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平台+技术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履约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投放ROI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费用率⁴</w:t>
            </w:r>
          </w:p>
        </w:tc>
        <w:tc>
          <w:tcPr>
            <w:tcW w:type="dxa" w:w="89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渠道净利</w:t>
            </w:r>
          </w:p>
        </w:tc>
      </w:tr>
      <w:tr>
        <w:trPr>
          <w:cantSplit/>
        </w:trPr>
        <w:tc>
          <w:tcPr>
            <w:tcW w:type="dxa" w:w="89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CH01</w:t>
              <w:br/>
              <w:t>自营APP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¥69.2万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9.0%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18.5%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81.5%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¥14.9万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¥1.2万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¥2.7万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1.88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30.0%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¥-8.0万</w:t>
            </w:r>
          </w:p>
        </w:tc>
      </w:tr>
      <w:tr>
        <w:trPr>
          <w:cantSplit/>
        </w:trPr>
        <w:tc>
          <w:tcPr>
            <w:tcW w:type="dxa" w:w="897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CH02</w:t>
              <w:br/>
              <w:t>微信小程序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¥41.1万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6.9%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19.2%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80.8%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¥2.4万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¥0.7万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¥1.5万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4.74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13.8%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¥2.2万</w:t>
            </w:r>
          </w:p>
        </w:tc>
      </w:tr>
      <w:tr>
        <w:trPr>
          <w:cantSplit/>
        </w:trPr>
        <w:tc>
          <w:tcPr>
            <w:tcW w:type="dxa" w:w="89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CH03</w:t>
              <w:br/>
              <w:t>天猫旗舰店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¥204.2万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7.2%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19.6%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80.4%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¥37.0万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¥15.8万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¥12.1万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2.01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34.5%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¥-30.4万</w:t>
            </w:r>
          </w:p>
        </w:tc>
      </w:tr>
      <w:tr>
        <w:trPr>
          <w:cantSplit/>
        </w:trPr>
        <w:tc>
          <w:tcPr>
            <w:tcW w:type="dxa" w:w="897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CH04</w:t>
              <w:br/>
              <w:t>京东自营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¥116.2万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5.6%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20.6%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79.4%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¥13.4万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¥8.0万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¥6.8万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3.04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26.5%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¥-6.8万</w:t>
            </w:r>
          </w:p>
        </w:tc>
      </w:tr>
      <w:tr>
        <w:trPr>
          <w:cantSplit/>
        </w:trPr>
        <w:tc>
          <w:tcPr>
            <w:tcW w:type="dxa" w:w="89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CH05</w:t>
              <w:br/>
              <w:t>抖音小店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¥156.4万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7.0%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20.5%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79.5%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¥28.2万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¥17.5万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¥9.2万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1.83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37.8%</w:t>
            </w:r>
          </w:p>
        </w:tc>
        <w:tc>
          <w:tcPr>
            <w:tcW w:type="dxa" w:w="89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¥-27.1万</w:t>
            </w:r>
          </w:p>
        </w:tc>
      </w:tr>
      <w:tr>
        <w:trPr>
          <w:cantSplit/>
        </w:trPr>
        <w:tc>
          <w:tcPr>
            <w:tcW w:type="dxa" w:w="897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CH06</w:t>
              <w:br/>
              <w:t>美团闪购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¥23.8万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5.8%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20.2%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79.8%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¥2.1万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¥1.6万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¥2.3万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2.96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27.9%</w:t>
            </w:r>
          </w:p>
        </w:tc>
        <w:tc>
          <w:tcPr>
            <w:tcW w:type="dxa" w:w="897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¥-1.8万</w:t>
            </w:r>
          </w:p>
        </w:tc>
      </w:tr>
    </w:tbl>
    <w:p>
      <w:pPr>
        <w:spacing w:after="20"/>
      </w:pPr>
    </w:p>
    <w:p>
      <w:r>
        <w:rPr>
          <w:color w:val="666666"/>
        </w:rPr>
        <w:t>注：¹退款÷退款前收入；²（净收入−商品成本）÷净收入；³商品成本÷净收入；⁴费用合计÷净收入。6月退款不完整，见EX-001；平台佣金/技术费按退款前收入复算，月度差异均在±¥0.01容差内。[K-01][K-02][K-04]</w:t>
      </w:r>
    </w:p>
    <w:p>
      <w:pPr>
        <w:pStyle w:val="Heading3"/>
      </w:pPr>
      <w:r>
        <w:t>各渠道费用结构（万元）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</w:trPr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广告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平台佣金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技术服务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支付手续费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履约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包装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退货售后</w:t>
            </w:r>
          </w:p>
        </w:tc>
        <w:tc>
          <w:tcPr>
            <w:tcW w:type="dxa" w:w="109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其他</w:t>
            </w:r>
          </w:p>
        </w:tc>
      </w:tr>
      <w:tr>
        <w:trPr>
          <w:cantSplit/>
        </w:trPr>
        <w:tc>
          <w:tcPr>
            <w:tcW w:type="dxa" w:w="10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CH01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14.88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1.05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0.18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0.23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2.66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0.29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1.06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0.38</w:t>
            </w:r>
          </w:p>
        </w:tc>
      </w:tr>
      <w:tr>
        <w:trPr>
          <w:cantSplit/>
        </w:trPr>
        <w:tc>
          <w:tcPr>
            <w:tcW w:type="dxa" w:w="109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CH02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2.45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0.57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0.12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0.13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1.55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0.23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0.47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0.17</w:t>
            </w:r>
          </w:p>
        </w:tc>
      </w:tr>
      <w:tr>
        <w:trPr>
          <w:cantSplit/>
        </w:trPr>
        <w:tc>
          <w:tcPr>
            <w:tcW w:type="dxa" w:w="10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CH03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36.97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10.87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4.95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1.32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12.10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0.66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2.67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0.86</w:t>
            </w:r>
          </w:p>
        </w:tc>
      </w:tr>
      <w:tr>
        <w:trPr>
          <w:cantSplit/>
        </w:trPr>
        <w:tc>
          <w:tcPr>
            <w:tcW w:type="dxa" w:w="109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CH04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13.43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5.24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2.80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0.74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6.77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0.25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1.09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0.49</w:t>
            </w:r>
          </w:p>
        </w:tc>
      </w:tr>
      <w:tr>
        <w:trPr>
          <w:cantSplit/>
        </w:trPr>
        <w:tc>
          <w:tcPr>
            <w:tcW w:type="dxa" w:w="10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CH05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28.19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13.29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4.21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1.01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9.25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0.75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1.78</w:t>
            </w:r>
          </w:p>
        </w:tc>
        <w:tc>
          <w:tcPr>
            <w:tcW w:type="dxa" w:w="1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0.63</w:t>
            </w:r>
          </w:p>
        </w:tc>
      </w:tr>
      <w:tr>
        <w:trPr>
          <w:cantSplit/>
        </w:trPr>
        <w:tc>
          <w:tcPr>
            <w:tcW w:type="dxa" w:w="109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CH06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2.06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1.33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0.25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0.13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2.28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0.26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0.22</w:t>
            </w:r>
          </w:p>
        </w:tc>
        <w:tc>
          <w:tcPr>
            <w:tcW w:type="dxa" w:w="109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0.13</w:t>
            </w:r>
          </w:p>
        </w:tc>
      </w:tr>
    </w:tbl>
    <w:p>
      <w:pPr>
        <w:spacing w:after="20"/>
      </w:pPr>
    </w:p>
    <w:p>
      <w:pPr>
        <w:pStyle w:val="ListBullet"/>
      </w:pPr>
      <w:r>
        <w:t>规模不是质量：CH03净收入最大（¥2,041,902.26），但费用率34.5%、渠道净亏¥303,881.15；CH05费用率37.8%、净亏¥270,804.82。</w:t>
      </w:r>
    </w:p>
    <w:p>
      <w:pPr>
        <w:pStyle w:val="ListBullet"/>
      </w:pPr>
      <w:r>
        <w:t>战略渠道差异显著：CH02投放ROI 4.74、渠道净利¥21,985.36；CH01投放ROI 1.88但广告费¥148,801.35高于毛利¥127,671.24，需保战略入口、减低效付费流量。</w:t>
      </w:r>
    </w:p>
    <w:p>
      <w:pPr>
        <w:pStyle w:val="ListBullet"/>
      </w:pPr>
      <w:r>
        <w:t>即时零售CH06不按毛利率简单退出：其定位是履约补充；H1履约费¥22,784.49、渠道净亏¥18,284.65，故维持覆盖、不扩付费获客，并以履约时效/成本为闸门。</w:t>
      </w:r>
    </w:p>
    <w:p>
      <w:pPr>
        <w:pStyle w:val="Heading3"/>
      </w:pPr>
      <w:r>
        <w:t>1.1.1 商品成本与品类质量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品类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净收入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毛利率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退款率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家电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¥3,772,221.25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19.8%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7.1%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服饰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¥1,239,066.49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20.1%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6.7%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美妆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¥612,940.55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19.8%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6.7%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母婴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¥324,290.83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19.3%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6.7%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日用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¥99,897.75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18.6%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6.2%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食品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¥61,410.82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24.4%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6.5%</w:t>
            </w:r>
          </w:p>
        </w:tc>
      </w:tr>
    </w:tbl>
    <w:p>
      <w:pPr>
        <w:spacing w:after="20"/>
      </w:pPr>
    </w:p>
    <w:p>
      <w:r>
        <w:rPr>
          <w:color w:val="666666"/>
        </w:rPr>
        <w:t>渠道明细商品成本与SKU主数据“单位成本×数量”逐行复算均在¥0.01容差内；200个SKU中未发现停售SKU新增销售，活动价未低于单位成本。食品毛利率24.4%最高，但净收入仅¥61,410.82，不据小规模品类结果替代渠道角色判断。[K-01]</w:t>
      </w:r>
    </w:p>
    <w:p>
      <w:pPr>
        <w:pStyle w:val="Heading2"/>
      </w:pPr>
      <w:r>
        <w:t>1.2 逐渠道H2取舍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H2建议投入（条件性）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决策依据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预期作用 / 主要风险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CH01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维持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建议H2广告¥126,481.15（H1实际¥148,801.35×85%；战略保障、结构优化）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H1实际渠道净利¥-79,554.70；战略渠道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保私域与会员入口；静态少支¥22,320.20。风险：短期支付额下滑；用会员复购替代泛流量。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CH02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增投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建议H2广告¥29,390.74（H1实际¥24,492.28×120%）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H1实际渠道净利¥21,985.36；战略渠道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承接会员迁移；新增广告建议¥4,898.46。若维持H1投放ROI，对应支付额仅作试验观测，不承诺销售。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CH03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收缩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建议H2广告¥277,256.12（H1实际¥369,674.83×75%）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H1实际渠道净利¥-303,881.15；平台C级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静态少支¥92,418.71；收窄至ROI≥1活动/SKU。风险：最大规模渠道销量与会员触达下降。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CH04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收缩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建议H2广告¥120,834.51（H1实际¥134,260.57×90%）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H1实际渠道净利¥-68,299.14；平台C级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静态少支¥13,426.06；保高ROI场景。风险：平台覆盖下降，设毛利率≥25%/渠道净利改善复开门槛。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CH05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收缩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建议H2广告¥197,316.97（H1实际¥281,881.39×70%）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H1实际渠道净利¥-270,804.82；平台C级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静态少支¥84,564.42；停低ROI直播/会员日并排重。风险：流量型规模快速回落，先迁移263名独占购买会员。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CH06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维持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建议H2广告上限¥20,571.48（不高于H1实际¥20,571.48）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H1实际渠道净利¥-18,284.65；履约补充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广告不高于H1；保即时履约覆盖。风险：履约费侵蚀，缺时效/半径数据，需容量压测。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BF90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FFF2CC"/>
          </w:tcPr>
          <w:p>
            <w:r/>
            <w:r>
              <w:rPr>
                <w:b/>
                <w:color w:val="BF9000"/>
              </w:rPr>
              <w:t xml:space="preserve">适用前提  </w:t>
            </w:r>
            <w:r>
              <w:t>上述H2广告合计建议¥771,850.97，相对H1实际广告¥979,681.90减少¥207,830.93（-21.2%）。金额仅在“H2预算上限不低于该建议盘、7月试验验证、6月退款关账”时适用；销售、毛利和履约影响因缺少弹性不得量化为承诺。见EX-001/005。</w:t>
            </w:r>
          </w:p>
        </w:tc>
      </w:tr>
    </w:tbl>
    <w:p>
      <w:pPr>
        <w:spacing w:after="20"/>
      </w:pPr>
    </w:p>
    <w:p>
      <w:pPr>
        <w:pStyle w:val="Heading2"/>
      </w:pPr>
      <w:r>
        <w:t>1.3 渠道协同闸门</w:t>
      </w:r>
    </w:p>
    <w:p>
      <w:pPr>
        <w:pStyle w:val="ListBullet"/>
      </w:pPr>
      <w:r>
        <w:t>CH03/04/05收缩前：对各自239/108/263名独占购买会员先做APP/小程序绑定和权益迁移；只统计会员订单，不与渠道净收入相加。</w:t>
      </w:r>
    </w:p>
    <w:p>
      <w:pPr>
        <w:pStyle w:val="ListBullet"/>
      </w:pPr>
      <w:r>
        <w:t>CH01/02承接后：以会员复购、跨渠道数和支付金额三项验证；若新增投放ROI低于H1渠道自身水平，暂停第二批预算。该闸门是建议，不是既有制度。</w:t>
      </w:r>
    </w:p>
    <w:p>
      <w:pPr>
        <w:pStyle w:val="ListBullet"/>
      </w:pPr>
      <w:r>
        <w:t>CH06与转换门店联动：优先验证S012/S023/S028/S034节点容量；即时配送仍归CH06，门店发货/自提才计门店O2O贡献。</w:t>
      </w:r>
    </w:p>
    <w:p>
      <w:r>
        <w:br w:type="page"/>
      </w:r>
    </w:p>
    <w:p>
      <w:pPr>
        <w:pStyle w:val="Heading1"/>
      </w:pPr>
      <w:r>
        <w:t>第 2 章  门店经营诊断、分级与调整建议</w:t>
      </w:r>
    </w:p>
    <w:p>
      <w:pPr>
        <w:pStyle w:val="Heading2"/>
      </w:pPr>
      <w:r>
        <w:t>2.1 全量分级与经济性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制度口径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H1到店销售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¥76,392,804.70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门店台账到店销售额合计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H1到店毛利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¥27,245,588.47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门店台账毛利额合计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H1经营收益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¥-1,617,108.45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到店毛利−门店费用七项；不叠加O2O收入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O2O履约贡献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¥2,851,342.38 / 3,402单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渠道明细门店发货+到店自提净收入/订单量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分级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 3 / B 29 / C 3 / D 7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月均到店销售÷面积；租售比&gt;35%直接D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动作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维持22 / 整改14 / 转换4 / 闭店评估2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逐月条件、经营收益、O2O与租约共同判断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区域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店数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到店销售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毛利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经营收益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华东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¥35,387,380.96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¥12,931,517.33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¥1,252,408.27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华北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¥21,345,691.23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¥7,512,278.97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¥-1,113,430.53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华南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¥19,659,732.51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¥6,801,792.17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¥-1,756,086.19</w:t>
            </w:r>
          </w:p>
        </w:tc>
      </w:tr>
    </w:tbl>
    <w:p>
      <w:pPr>
        <w:spacing w:after="20"/>
      </w:pPr>
    </w:p>
    <w:p>
      <w:r>
        <w:rPr>
          <w:color w:val="666666"/>
        </w:rPr>
        <w:t>华北与华南经营收益分别为负¥1,113,430.53和¥1,756,086.19；不据区域平均直接关店，而是按单店连续月、租约和履约贡献处置。[K-05][K-06]</w:t>
      </w:r>
    </w:p>
    <w:p>
      <w:pPr>
        <w:pStyle w:val="Heading2"/>
      </w:pPr>
      <w:r>
        <w:t>2.2 优先处置清单（逐月条件）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门店</w:t>
            </w:r>
          </w:p>
        </w:tc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建议</w:t>
            </w:r>
          </w:p>
        </w:tc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H1口径</w:t>
            </w:r>
          </w:p>
        </w:tc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1—6月等级</w:t>
            </w:r>
          </w:p>
        </w:tc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经营收益</w:t>
            </w:r>
          </w:p>
        </w:tc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O2O贡献</w:t>
            </w:r>
          </w:p>
        </w:tc>
        <w:tc>
          <w:tcPr>
            <w:tcW w:type="dxa" w:w="1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合同约束</w:t>
            </w:r>
          </w:p>
        </w:tc>
      </w:tr>
      <w:tr>
        <w:trPr>
          <w:cantSplit/>
        </w:trPr>
        <w:tc>
          <w:tcPr>
            <w:tcW w:type="dxa" w:w="1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S017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闭店评估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D；坪效1,298；租售比43.4%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 / D / D / D / D / D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¥-263,268.02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¥66,870.28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2026-11-17</w:t>
              <w:br/>
              <w:t>违约金¥263,319.91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S029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闭店评估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D；坪效539；租售比138.8%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 / D / D / D / D / D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¥-1,040,349.99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¥52,374.83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2026-09-25</w:t>
              <w:br/>
              <w:t>违约金¥426,887.23</w:t>
            </w:r>
          </w:p>
        </w:tc>
      </w:tr>
      <w:tr>
        <w:trPr>
          <w:cantSplit/>
        </w:trPr>
        <w:tc>
          <w:tcPr>
            <w:tcW w:type="dxa" w:w="1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S012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转前置仓或自提点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D；坪效1,980；租售比37.8%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 / B / B / D / D / D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¥-278,337.91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¥69,809.42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2028-11-19</w:t>
              <w:br/>
              <w:t>违约金¥328,558.62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S023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转前置仓或自提点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D；坪效823；租售比64.8%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 / D / D / D / D / D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¥-330,518.63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¥43,369.17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2027-04-26</w:t>
              <w:br/>
              <w:t>违约金¥355,458.24</w:t>
            </w:r>
          </w:p>
        </w:tc>
      </w:tr>
      <w:tr>
        <w:trPr>
          <w:cantSplit/>
        </w:trPr>
        <w:tc>
          <w:tcPr>
            <w:tcW w:type="dxa" w:w="1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S028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转前置仓或自提点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D；坪效1,991；租售比36.8%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 / B / D / D / D / B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¥-386,658.81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¥71,408.18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2032-11-25</w:t>
              <w:br/>
              <w:t>违约金¥407,080.16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S034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转前置仓或自提点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D；坪效578；租售比132.3%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 / D / D / D / D / D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¥-1,018,250.33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¥96,238.83</w:t>
            </w:r>
          </w:p>
        </w:tc>
        <w:tc>
          <w:tcPr>
            <w:tcW w:type="dxa" w:w="140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2028-03-02</w:t>
              <w:br/>
              <w:t>违约金¥523,885.13</w:t>
            </w:r>
          </w:p>
        </w:tc>
      </w:tr>
      <w:tr>
        <w:trPr>
          <w:cantSplit/>
        </w:trPr>
        <w:tc>
          <w:tcPr>
            <w:tcW w:type="dxa" w:w="1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S033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整改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D；坪效1,790；租售比42.0%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D / D / B / D / B / D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¥-534,380.19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¥51,326.26</w:t>
            </w:r>
          </w:p>
        </w:tc>
        <w:tc>
          <w:tcPr>
            <w:tcW w:type="dxa" w:w="1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2027-05-13</w:t>
              <w:br/>
              <w:t>违约金¥756,067.53</w:t>
            </w:r>
          </w:p>
        </w:tc>
      </w:tr>
    </w:tbl>
    <w:p>
      <w:pPr>
        <w:spacing w:after="20"/>
      </w:pPr>
    </w:p>
    <w:p>
      <w:pPr>
        <w:pStyle w:val="ListBullet"/>
      </w:pPr>
      <w:r>
        <w:t>S017与S029：六个月均D，租期分别在2026-11-17、2026-09-25结束，满足闭店评估条件。优先自然到期退出，避免把违约金¥263,319.91/¥426,887.23当作必然支出；立即核查通知/续约状态。</w:t>
      </w:r>
    </w:p>
    <w:p>
      <w:pPr>
        <w:pStyle w:val="ListBullet"/>
      </w:pPr>
      <w:r>
        <w:t>S012：1/4/5/6月D，4—6月租售比连续&gt;35%；S028：3—5月连续；S023、S034：1—6月连续。四店满足转换条件，但须补房东许可、改造费、履约半径和容量，见EX-009/015。</w:t>
      </w:r>
    </w:p>
    <w:p>
      <w:pPr>
        <w:pStyle w:val="ListBullet"/>
      </w:pPr>
      <w:r>
        <w:t>S033：月度等级D/D/B/D/B/D，未达到连续3月租售比&gt;35%，也未满足到期+连续6月D；因此只整改，不越级转换或退出。</w:t>
      </w:r>
    </w:p>
    <w:p>
      <w:pPr>
        <w:pStyle w:val="Heading2"/>
      </w:pPr>
      <w:r>
        <w:t>2.3 经营整改与维持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门店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H1经营收益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坪效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租售比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动作重点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S004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¥-46,856.38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2,007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16.5%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S010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¥-113,632.44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2,168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25.7%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S013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¥-96,785.02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2,042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20.1%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先补面积再定力度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S016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¥-193,278.29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1,627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28.5%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S020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¥-308,875.02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2,492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31.3%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S022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¥-95,001.62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3,659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20.5%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S024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¥-51,817.86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2,957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17.4%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S026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¥-156,165.84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1,901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24.3%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S031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¥-66,149.96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2,808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27.2%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先补面积再定力度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S032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¥-183,805.88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2,103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29.5%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S033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¥-534,380.19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1,790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42.0%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S036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¥-154,521.75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1,952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29.7%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S037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¥-165,985.31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2,710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22.0%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S039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¥-2,887.55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2,521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15.2%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费用拆解+排班/库存/营销复盘</w:t>
            </w:r>
          </w:p>
        </w:tc>
      </w:tr>
    </w:tbl>
    <w:p>
      <w:pPr>
        <w:spacing w:after="20"/>
      </w:pPr>
    </w:p>
    <w:p>
      <w:pPr>
        <w:pStyle w:val="ListBullet"/>
      </w:pPr>
      <w:r>
        <w:t>22家维持店不等于冻结资源：A/B/C且经营收益不为负，维持基础排班与服务；其中O2O贡献高的S008/S015/S038/S040优先保护履约时段。</w:t>
      </w:r>
    </w:p>
    <w:p>
      <w:pPr>
        <w:pStyle w:val="ListBullet"/>
      </w:pPr>
      <w:r>
        <w:t>S006、S013、S031面积调整导致坪效不可比；S013/S031因经营收益为负先做可逆整改，但不得据当前坪效排名关停。</w:t>
      </w:r>
    </w:p>
    <w:p>
      <w:pPr>
        <w:pStyle w:val="ListBullet"/>
      </w:pPr>
      <w:r>
        <w:t>全量42店的销售、O2O、坪效、租售比、月度依据与合同成本详见《门店分级与调整建议.xlsx》。</w:t>
      </w:r>
    </w:p>
    <w:p>
      <w:pPr>
        <w:pStyle w:val="Heading2"/>
      </w:pPr>
      <w:r>
        <w:t>2.4 人力与履约衔接</w:t>
      </w:r>
    </w:p>
    <w:p>
      <w:pPr>
        <w:pStyle w:val="ListBullet"/>
      </w:pPr>
      <w:r>
        <w:t>立即做排班审计，不下达人头指标：现有材料只有人工费用，不能反推人数。补齐编制/工时/班次后，以“到店订单峰谷+O2O单量”匹配班次。</w:t>
      </w:r>
    </w:p>
    <w:p>
      <w:pPr>
        <w:pStyle w:val="ListBullet"/>
      </w:pPr>
      <w:r>
        <w:t>闭店迁移为条件性：S017优先核验同城S009容量；S029优先核验同城S025容量。缺距离/时效/半径，不能承诺无损迁移。</w:t>
      </w:r>
    </w:p>
    <w:p>
      <w:pPr>
        <w:pStyle w:val="ListBullet"/>
      </w:pPr>
      <w:r>
        <w:t>转换店保留履约属性可降低销售中断，但即时配送收入仍归CH06，门店贡献仅计自提+门店发货，不能与到店销售相加计算毛利率。</w:t>
      </w:r>
    </w:p>
    <w:p>
      <w:r>
        <w:br w:type="page"/>
      </w:r>
    </w:p>
    <w:p>
      <w:pPr>
        <w:pStyle w:val="Heading1"/>
      </w:pPr>
      <w:r>
        <w:t>第 3 章  促销组合效果评估与 H2 节奏建议</w:t>
      </w:r>
    </w:p>
    <w:p>
      <w:pPr>
        <w:pStyle w:val="Heading2"/>
      </w:pPr>
      <w:r>
        <w:t>3.1 H1类型与场景价值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活动数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实际费用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增量销售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增量毛利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ROI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节日促销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¥40,566.97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¥296,085.30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¥78,053.62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1.92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直播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¥88,911.18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¥474,373.29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¥122,510.79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1.38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满减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¥102,882.60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¥479,403.42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¥125,854.92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1.22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折扣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¥62,011.49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¥268,193.36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¥71,138.37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1.15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会员日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¥121,823.29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¥386,344.66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¥96,312.41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0.79</w:t>
            </w:r>
          </w:p>
        </w:tc>
      </w:tr>
    </w:tbl>
    <w:p>
      <w:pPr>
        <w:spacing w:after="20"/>
      </w:pPr>
    </w:p>
    <w:p>
      <w:pPr>
        <w:pStyle w:val="ListBullet"/>
      </w:pPr>
      <w:r>
        <w:t>节日促销ROI 1.92最高，其次直播1.38、满减1.22、折扣1.15；会员日0.79低于1，但其会员留存/迁移角色不能仅按毛利取消，应限定在CH01/02和已验证活动模板。</w:t>
      </w:r>
    </w:p>
    <w:p>
      <w:pPr>
        <w:pStyle w:val="ListBullet"/>
      </w:pPr>
      <w:r>
        <w:t>渠道维度：CH02活动ROI 1.60；CH06仅0.48。H2把付费促销向CH02倾斜，CH06只保履约场景和A021模板，不做普遍扩量。</w:t>
      </w:r>
    </w:p>
    <w:p>
      <w:pPr>
        <w:pStyle w:val="Heading3"/>
      </w:pPr>
      <w:r>
        <w:t>渠道与发起门店场景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活动数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实际费用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增量毛利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ROI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CH02 微信小程序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¥18,823.52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¥30,097.04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1.60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CH05 抖音小店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¥117,171.97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¥158,591.97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1.35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CH03 天猫旗舰店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18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¥151,821.96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¥175,245.09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1.15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CH04 京东自营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¥46,871.57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¥52,639.16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1.12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CH01 自营APP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¥62,415.11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¥68,167.99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1.09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CH06 美团闪购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¥19,091.40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¥9,128.86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发起门店场景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活动数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实际费用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增量毛利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ROI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社区店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¥42,160.08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¥88,301.39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2.09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旗舰店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¥34,607.07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¥54,033.09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1.56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前置仓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¥51,347.24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¥63,272.72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1.23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标准店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¥80,972.01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¥98,450.57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1.22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无发起门店（渠道级）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21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¥207,109.13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¥189,812.34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0.92</w:t>
            </w:r>
          </w:p>
        </w:tc>
      </w:tr>
    </w:tbl>
    <w:p>
      <w:pPr>
        <w:spacing w:after="20"/>
      </w:pPr>
    </w:p>
    <w:p>
      <w:r>
        <w:rPr>
          <w:color w:val="666666"/>
        </w:rPr>
        <w:t>场景表中21项“无发起门店”为渠道级活动；其余29项按活动清单的发起门店店型分组。按制度7.2，活动销售仍汇总整个渠道，因此该表只描述发起场景，不能把ROI归因给单店。</w:t>
      </w:r>
    </w:p>
    <w:p>
      <w:pPr>
        <w:pStyle w:val="Heading2"/>
      </w:pPr>
      <w:r>
        <w:t>3.2 活动取舍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判定建议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活动ID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保留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30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ROI≥1；仍需排重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A001、A003、A004、A005、A008、A009、A010、A011、A013、A014、A015、A016、A019、A021、A023、A024、A026、A029、A032、A033、A034、A036、A037、A038、A039、A040、A041、A044、A046、A049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调整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0.5≤ROI&lt;1；减预算/缩窗口/改人群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A002、A006、A012、A017、A020、A025、A027、A028、A042、A043、A045、A047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取消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ROI&lt;0.5；停止复制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A007、A018、A022、A030、A031、A035、A048、A050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933"/>
            <w:shd w:fill="BF90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4933"/>
            <w:shd w:fill="FFF2CC"/>
          </w:tcPr>
          <w:p>
            <w:r/>
            <w:r>
              <w:rPr>
                <w:b/>
                <w:color w:val="BF9000"/>
              </w:rPr>
              <w:t xml:space="preserve">真实增量边界  </w:t>
            </w:r>
            <w:r>
              <w:t>制度采用“活动期渠道收入−非活动期日均收入×活动天数”。这能形成一致基线，但没有对照组，无法排除既有销售转移、提前购买或季节性；28组并行窗口还会重复计入同一订单。因此不汇总活动增量作为集团净增量承诺。见EX-002。</w:t>
            </w:r>
          </w:p>
        </w:tc>
      </w:tr>
    </w:tbl>
    <w:p>
      <w:pPr>
        <w:spacing w:after="20"/>
      </w:pPr>
    </w:p>
    <w:p>
      <w:pPr>
        <w:pStyle w:val="Heading2"/>
      </w:pPr>
      <w:r>
        <w:t>3.3 H2组合与月度节奏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月份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建议活动类型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预算区间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关键节点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2026-07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会员日（仅战略渠道）+满减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建议值¥55,500–69,400（H1月均实际费×0.8–1.0）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T-21审批；T-7排重；T+7按活动ROI复盘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2026-08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直播+满减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建议值¥62,400–76,300（H1月均实际费×0.9–1.1）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优先CH02及已验证高ROI场景；收缩渠道只保留ROI≥1模板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2026-09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节日促销+会员唤醒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建议值¥69,400–83,300（H1月均实际费×1.0–1.2）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先确认H2日历；沉睡高价值会员分层触达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2026-10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节日促销+直播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建议值¥76,300–90,200（H1月均实际费×1.1–1.3）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渠道活动窗口不得重叠；即时零售仅做履约场景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2026-11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直播+满减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建议值¥83,300–97,100（H1月均实际费×1.2–1.4）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需总预算批准；设预算+10%审批闸门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2026-12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会员日+节日促销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建议值¥69,400–83,300（H1月均实际费×1.0–1.2）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兼顾活跃留存与沉睡唤醒；月末完成全成本复盘</w:t>
            </w:r>
          </w:p>
        </w:tc>
      </w:tr>
    </w:tbl>
    <w:p>
      <w:pPr>
        <w:spacing w:after="20"/>
      </w:pPr>
    </w:p>
    <w:p>
      <w:pPr>
        <w:pStyle w:val="ListBullet"/>
      </w:pPr>
      <w:r>
        <w:t>组合原则：节日促销/直播/满减作为效率主轴；折扣只在活动价不低于成本的SKU使用；会员日服务留存与平台会员迁移，不追求全渠道铺开。</w:t>
      </w:r>
    </w:p>
    <w:p>
      <w:pPr>
        <w:pStyle w:val="ListBullet"/>
      </w:pPr>
      <w:r>
        <w:t>同渠道活动窗口强制互斥；预算超10%按制度报分管副总。H1没有超过预算10%的活动，但有20项小幅超预算，H2应在T-7复核承诺额。</w:t>
      </w:r>
    </w:p>
    <w:p>
      <w:pPr>
        <w:pStyle w:val="ListBullet"/>
      </w:pPr>
      <w:r>
        <w:t>预算区间均以H1月均实际费用¥69,365.92为基准，是建议值；缺H2总预算/日历/季节约束，审批后重排，见EX-003。</w:t>
      </w:r>
    </w:p>
    <w:p>
      <w:r>
        <w:br w:type="page"/>
      </w:r>
    </w:p>
    <w:p>
      <w:pPr>
        <w:pStyle w:val="Heading1"/>
      </w:pPr>
      <w:r>
        <w:t>第 4 章  会员运营建议</w:t>
      </w:r>
    </w:p>
    <w:p>
      <w:pPr>
        <w:pStyle w:val="Heading2"/>
      </w:pPr>
      <w:r>
        <w:t>4.1 2,500名完整会员结构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结构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管理含义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会员状态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活跃1,132（45.3%）/沉睡785（31.4%）/流失583（23.3%）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状态按2026-06-30最近购买天数；与会员订单复算一致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会员等级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普通1,000/银卡750/金卡500/钻石250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先保护活跃高等级，再唤醒沉睡高RFM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注册渠道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门店1,121；CH05/CH03各413；CH04 170；CH01 137；CH02 124；CH06 122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门店注册资产最大；CH03/05收缩需迁移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购买结构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单渠道1,134；跨渠道1,366（54.6%）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跨渠道口径含门店，O2O只计其渠道ID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复购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6,000单中复购单3,500（58.3%）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“复购渠道=无”不等于没有同渠道复购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购买结构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会员数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订单数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累计消费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人均消费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平均RFM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单渠道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1134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1279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¥319,275.93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¥282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2.31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跨渠道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1366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4721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¥1,197,920.27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¥877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3.57</w:t>
            </w:r>
          </w:p>
        </w:tc>
      </w:tr>
    </w:tbl>
    <w:p>
      <w:pPr>
        <w:spacing w:after="20"/>
      </w:pPr>
    </w:p>
    <w:p>
      <w:r>
        <w:rPr>
          <w:color w:val="666666"/>
        </w:rPr>
        <w:t>跨渠道会员人均消费¥877，单渠道¥282；这是相关关系，不证明导流本身造成增量。[K-10]</w:t>
      </w:r>
    </w:p>
    <w:p>
      <w:pPr>
        <w:pStyle w:val="Heading3"/>
      </w:pPr>
      <w:r>
        <w:t>注册与购买渠道差异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注册会员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购买会员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会员订单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会员消费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复购单占比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CH01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418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457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¥113,977.88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59.1%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124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358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390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¥86,341.61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56.7%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413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1000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1317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¥327,775.16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60.3%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CH04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170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497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556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¥135,784.57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54.7%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CH05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413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1054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1384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¥343,188.82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57.7%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CH06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395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445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¥117,618.58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60.0%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门店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1121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1082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1451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¥392,509.58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58.2%</w:t>
            </w:r>
          </w:p>
        </w:tc>
      </w:tr>
    </w:tbl>
    <w:p>
      <w:pPr>
        <w:spacing w:after="20"/>
      </w:pPr>
    </w:p>
    <w:p>
      <w:r>
        <w:rPr>
          <w:color w:val="666666"/>
        </w:rPr>
        <w:t>“门店”购买仅指线下会员订单；O2O按渠道ID计入CH01—CH06，不另计门店渠道。注册人数与购买人数不是同一批会员，差异用于识别导流机会，不代表注册渠道转化率。</w:t>
      </w:r>
    </w:p>
    <w:p>
      <w:pPr>
        <w:pStyle w:val="Heading2"/>
      </w:pPr>
      <w:r>
        <w:t>4.2 分群动作与触达重点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分群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规模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H2动作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主触点</w:t>
            </w:r>
          </w:p>
        </w:tc>
        <w:tc>
          <w:tcPr>
            <w:tcW w:type="dxa" w:w="197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成功指标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活跃且RFM≥4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539人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权益留存、跨渠道任务、避免过度折扣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APP/小程序+注册门店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60天内复购、跨渠道数、毛利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沉睡且RFM≥4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202人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两步唤醒：内容/服务→限量权益；不全量打折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原注册渠道，优先导入CH01/02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30天唤醒率、复购毛利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流失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583人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先低成本可达性验证；仅对历史高价值者二次触达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原注册/购买渠道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唤醒成本、净增毛利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单渠道会员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1,134人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第二渠道首单任务；平台用户绑定私域账户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门店→小程序；平台→APP/小程序</w:t>
            </w:r>
          </w:p>
        </w:tc>
        <w:tc>
          <w:tcPr>
            <w:tcW w:type="dxa" w:w="197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第二渠道转化、90天留存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跨渠道会员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1,366人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统一权益与服务恢复，减少渠道间重复优惠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会员中心+购买渠道</w:t>
            </w:r>
          </w:p>
        </w:tc>
        <w:tc>
          <w:tcPr>
            <w:tcW w:type="dxa" w:w="19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人均消费、复购、权益成本</w:t>
            </w:r>
          </w:p>
        </w:tc>
      </w:tr>
    </w:tbl>
    <w:p>
      <w:pPr>
        <w:spacing w:after="20"/>
      </w:pPr>
    </w:p>
    <w:p>
      <w:pPr>
        <w:pStyle w:val="Heading2"/>
      </w:pPr>
      <w:r>
        <w:t>4.3 渠道调整下的会员保护</w:t>
      </w:r>
    </w:p>
    <w:p>
      <w:pPr>
        <w:pStyle w:val="ListBullet"/>
      </w:pPr>
      <w:r>
        <w:t>CH03/04/05购买会员分别1,000/497/1,054人；其中仅在该渠道购买239/108/263人。收缩投放前先做账户绑定、权益承接和服务通知，未迁移部分保留基础触达。</w:t>
      </w:r>
    </w:p>
    <w:p>
      <w:pPr>
        <w:pStyle w:val="ListBullet"/>
      </w:pPr>
      <w:r>
        <w:t>门店闭店：S017/S029注册会员与购买会员须按会员ID迁移服务门店；材料未提供到店距离，不能指定最终承接店，只能先核验S009/S025。</w:t>
      </w:r>
    </w:p>
    <w:p>
      <w:pPr>
        <w:pStyle w:val="ListBullet"/>
      </w:pPr>
      <w:r>
        <w:t>口径隔离：会员累计消费¥1,517,196.20只来自会员订单；渠道经营净收入¥6,109,827.69来自渠道销售明细，不相加、不逐单勾稽。见EX-012。</w:t>
      </w:r>
    </w:p>
    <w:p>
      <w:r>
        <w:br w:type="page"/>
      </w:r>
    </w:p>
    <w:p>
      <w:pPr>
        <w:pStyle w:val="Heading1"/>
      </w:pPr>
      <w:r>
        <w:t>第 5 章  H2 资源再配置方案与执行优先级</w:t>
      </w:r>
    </w:p>
    <w:p>
      <w:pPr>
        <w:pStyle w:val="Heading2"/>
      </w:pPr>
      <w:r>
        <w:t>5.1 决策组合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 / 类型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资源动作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预期作用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实施条件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主要风险 / 待决策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P0 立即执行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50项活动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停止复制A030/A048/A035/A031/A022/A007/A050/A018；H2窗口排重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避免继续投向ROI&lt;0.5模板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不新增预算；按EX-004建议阈值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阈值待营销/财务批准；归因有重叠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P0 立即执行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CH01/03/04/05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冻结超出建议盘的新广告承诺；先结构优化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形成静态节费空间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不触发既有合同违约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销售回落，需小流量试验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P0 立即执行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S017/S029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启动法务通知/续约核查与闭店评估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把握H2到期窗口，避免无意续约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确认发函状态、迁移容量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S029通知节点可能已过；会员/履约流失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P1 核验后执行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CH02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广告+20%，分两批释放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承接私域与平台会员，利用H1 ROI 4.74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CFO预算、两周试验、6月关账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ROI衰减；支付额不等于利润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P1 核验后执行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S012/S023/S028/S034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转前置仓或自提点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降低高租售比下的到店模式压力，保履约节点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房东许可、改造费、容量/半径/消防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改造成本未知；两深圳节点需去重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P1 核验后执行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14家整改店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费用拆解、排班审计、营销/库存复盘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改善¥2.17m负经营收益池（14店H1负值绝对额）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补编制/工时；面积店先重算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不能由人工费直接裁员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P2 特定情景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CH03/04/05再加码收缩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若7月净利/毛利闸门未改善，停止第二批投放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进一步止损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完整退款、会员迁移完成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规模和平台可见度下降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P2 特定情景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CH06与转换节点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若时效/单均履约成本达标再扩覆盖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保即时零售补充角色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补时效、距离、容量</w:t>
            </w:r>
          </w:p>
        </w:tc>
        <w:tc>
          <w:tcPr>
            <w:tcW w:type="dxa" w:w="1644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履约费继续侵蚀</w:t>
            </w:r>
          </w:p>
        </w:tc>
      </w:tr>
    </w:tbl>
    <w:p>
      <w:pPr>
        <w:spacing w:after="20"/>
      </w:pPr>
    </w:p>
    <w:p>
      <w:r>
        <w:rPr>
          <w:color w:val="666666"/>
        </w:rPr>
        <w:t>注：“¥2.17m负经营收益池”为14家整改店H1经营收益负值绝对额合计，属于改善对象规模，不是可实现节省或H2预算。</w:t>
      </w:r>
    </w:p>
    <w:p>
      <w:pPr>
        <w:pStyle w:val="Heading2"/>
      </w:pPr>
      <w:r>
        <w:t>5.2 预算、人力与营销资源盘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资源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H1事实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H2建议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审批/闸门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渠道广告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实际¥979,681.90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条件性建议¥771,850.97（-21.2%）；CH02净增，其余结构调整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CFO上限；7月试验；EX-001/005关闭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促销费用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50项实际¥416,195.53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月度建议区间见节奏表；不与渠道广告混作活动ROI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H2总预算/日历；互斥排期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门店租赁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H1台账基数与租约月租+物业一致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优先自然到期处置S017/S029；9店H2递增待法务日级表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通知/续约状态；递增条款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门店改造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未提供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4店仅进入方案与回收测算，不预列已批准资本开支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房东/消防/容量/改造费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人力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只有人工费用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按到店订单峰谷+O2O负荷做排班；转换/退出后迁移工时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编制、在岗、工时、班次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会员营销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2,500会员事实表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优先539活跃高RFM、202沉睡高RFM、610平台独占购买会员迁移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权益成本与实际可触达状态待确认</w:t>
            </w:r>
          </w:p>
        </w:tc>
      </w:tr>
    </w:tbl>
    <w:p>
      <w:pPr>
        <w:spacing w:after="20"/>
      </w:pPr>
    </w:p>
    <w:p>
      <w:pPr>
        <w:pStyle w:val="Heading2"/>
      </w:pPr>
      <w:r>
        <w:t>5.3 30/60/90天执行节奏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必须完成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输出 / 决策门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0—30天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6月退款关账；S029/S017法务状态；冻结8个低ROI模板；补面积/编制/容量；CH02小流量试验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更新版渠道损益、租约通知证明、3店重算坪效、4店转换可研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31—60天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批准渠道与促销预算；平台会员迁移；S017不续租决策；整改店费用/排班方案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第二批预算释放、门店人力排班与服务迁移表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61—90天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执行到期退出/转换（满足条件者）；复盘活动互斥归因；决定平台进一步收缩情景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董事会/COO门：扩大、维持或停止下一阶段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 依据回指清单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支持结论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依据文件 / Sheet或章节</w:t>
            </w:r>
          </w:p>
        </w:tc>
        <w:tc>
          <w:tcPr>
            <w:tcW w:type="dxa" w:w="246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 / 记录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渠道规模、退款、成本、毛利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《2026H1渠道销售明细.xlsx》/渠道销售明细、渠道月度汇总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渠道ID、收入、退款金额、净收入、商品成本、订单号、月份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K-02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渠道费用、净利、投放ROI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《2026H1线上投放与平台费用.xlsx》/渠道月度费用、投放明细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广告费、平台佣金、技术服务费、履约费、费用合计、渠道净利、投放金额、支付金额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K-03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渠道角色与方向边界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《渠道与门店管理策略.docx》1.1—1.3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战略渠道、平台分级、即时零售定位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K-04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佣金与投放口径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《管理策略》7.3、7.6；《线上投放与平台费用》/平台佣金规则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退款前收入、佣金率、技术服务费率；复算月差在±¥0.01内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K-05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42店坪效、租售比、分级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《2026H1门店经营台账.xlsx》/门店基础信息、门店月度经营、门店费用；《管理策略》2章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营业面积、面积是否调整、到店销售额、租金及物业费；按月与H1月均计算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K-06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门店O2O与履约单量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《渠道销售明细》/渠道销售明细；《管理策略》3.1—3.7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门店ID、发货方式、净收入、订单号；仅门店发货+到店自提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K-07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门店动作与合同成本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《管理策略》6.1—6.4；《华东区门店租约汇总.docx》S001—S042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逐月等级、连续租售比、租期结束、提前通知、违约金、递增条款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K-08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50项活动ROI与类型价值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《2026H1促销活动记录.xlsx》/活动清单、活动效果；《管理策略》7.1—7.5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活动ID、活动类型、实际费用、增量销售额、增量毛利；ROI精确复算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K-09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真实增量限制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《管理策略》7.2；活动清单窗口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同渠道开始/结束日期并行；28组重叠、34项活动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K-10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2,500会员结构与复购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《2026H1会员与跨渠道订单.xlsx》/会员基础、会员订单、跨渠道行为；《管理策略》9章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会员ID、注册渠道、等级、状态、金额、订单数、RFM、跨渠道购买渠道数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K-11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渠道收缩的会员资产风险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同K-10，按会员ID与购买渠道聚合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CH03/04/05购买会员及各渠道独占购买会员239/108/263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K-12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异常与损益边界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《管理策略》4.8—4.12、5章；《异常与待核清单.xlsx》EX-001—EX-016</w:t>
            </w:r>
          </w:p>
        </w:tc>
        <w:tc>
          <w:tcPr>
            <w:tcW w:type="dxa" w:w="2466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编制缺失、两级损益、退款时点、容差、条件性建议</w:t>
            </w:r>
          </w:p>
        </w:tc>
      </w:tr>
    </w:tbl>
    <w:p>
      <w:pPr>
        <w:spacing w:after="20"/>
      </w:pPr>
    </w:p>
    <w:p>
      <w:r>
        <w:rPr>
          <w:color w:val="666666"/>
        </w:rPr>
        <w:t>复核说明：订单号、渠道ID、门店ID、会员ID、SKU和活动ID均按题内主键聚合；会员订单与渠道订单严格分层。所有全量明细分别落在四个Excel交付物中。</w:t>
      </w:r>
    </w:p>
    <w:p>
      <w:pPr>
        <w:pStyle w:val="Heading1"/>
      </w:pPr>
      <w:r>
        <w:t>附录 B  关键公式与精度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493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公式 / 处理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净收入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收入−退款；全额退款商品成本不冲回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渠道毛利率</w:t>
            </w:r>
          </w:p>
        </w:tc>
        <w:tc>
          <w:tcPr>
            <w:tcW w:type="dxa" w:w="493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（净收入−商品成本）÷净收入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销售费用率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渠道费用合计÷净收入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到店坪效</w:t>
            </w:r>
          </w:p>
        </w:tc>
        <w:tc>
          <w:tcPr>
            <w:tcW w:type="dxa" w:w="493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H1月均到店销售额÷当前营业面积；面积调整店待核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租售比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H1租金及物业费合计÷H1到店销售额；逐月条件另按当月计算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门店经营收益</w:t>
            </w:r>
          </w:p>
        </w:tc>
        <w:tc>
          <w:tcPr>
            <w:tcW w:type="dxa" w:w="493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到店毛利−租金及物业费−人力−营销−水电−履约包装−其他−折旧摊销；不叠加O2O收入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活动ROI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增量毛利÷活动实际费用；不含同期媒介投放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投放ROI</w:t>
            </w:r>
          </w:p>
        </w:tc>
        <w:tc>
          <w:tcPr>
            <w:tcW w:type="dxa" w:w="4933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投放带来的支付金额÷投放金额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展示精度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金额¥0.01；比例1位百分比；客单/坪效等单价整数；ROI两位，动作按精确值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 待决策事项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决策人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最晚时点</w:t>
            </w:r>
          </w:p>
        </w:tc>
        <w:tc>
          <w:tcPr>
            <w:tcW w:type="dxa" w:w="328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事项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COO / 法务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立即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确认S029是否已发90天通知及是否续约；8月前决定S017不续租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CFO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7月关账后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确认H2渠道广告上限、促销总预算、门店递增租金和集团级成本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营销负责人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H2首轮排期前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批准促销动作阈值；提供H2日历；同渠道窗口互斥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1F5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运营负责人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30天内</w:t>
            </w:r>
          </w:p>
        </w:tc>
        <w:tc>
          <w:tcPr>
            <w:tcW w:type="dxa" w:w="3289"/>
            <w:vAlign w:val="center"/>
            <w:shd w:fill="F1F5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完成4转换店容量/房东/消防/改造费可研；完成42店排班事实补充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会员运营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平台投放收缩前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完成610名CH03/04/05独占购买会员迁移方案与触达授权核验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渠道与门店运营策略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color w:val="666666"/>
        <w:sz w:val="16"/>
      </w:rPr>
      <w:t>集团内部机密  |  H2战略复盘决策材料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7A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2026H2 渠道与门店经营策略报告</dc:title>
  <dc:subject>2026H1经营复盘与2026H2资源再配置</dc:subject>
  <dc:creator>渠道与门店运营策略经理</dc:creator>
  <cp:keywords>渠道；门店；促销；会员；资源再配置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