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渠道与门店管理策略</w:t>
      </w:r>
    </w:p>
    <w:p>
      <w:r>
        <w:t>版本:v2026.09  适用范围:集团下属所有门店与渠道</w:t>
      </w:r>
    </w:p>
    <w:p>
      <w:pPr>
        <w:pStyle w:val="Heading1"/>
      </w:pPr>
      <w:r>
        <w:t>1. 渠道分类与优先级</w:t>
      </w:r>
    </w:p>
    <w:p>
      <w:r>
        <w:t>1.1 自营 APP、微信小程序为战略渠道,优先保障资源。</w:t>
      </w:r>
    </w:p>
    <w:p>
      <w:r>
        <w:t>1.2 平台渠道按利润贡献分级:A 级(毛利率≥35%)、B 级(25%-35%)、C 级(&lt;25%)。</w:t>
      </w:r>
    </w:p>
    <w:p>
      <w:r>
        <w:t>1.3 即时零售渠道定位为履约补充,重点考核履约成本与时效。</w:t>
      </w:r>
    </w:p>
    <w:p>
      <w:pPr>
        <w:pStyle w:val="Heading1"/>
      </w:pPr>
      <w:r>
        <w:t>2. 门店分级标准</w:t>
      </w:r>
    </w:p>
    <w:p>
      <w:r>
        <w:t>2.1 A 级门店:到店坪效≥5000 元/㎡/月,租售比≤15%,同店增长≥5%。</w:t>
      </w:r>
    </w:p>
    <w:p>
      <w:r>
        <w:t>2.2 B 级门店:到店坪效 2000-5000 元/㎡/月,租售比 15%-25%。</w:t>
      </w:r>
    </w:p>
    <w:p>
      <w:r>
        <w:t>2.3 C 级门店:到店坪效 1000-2000 元/㎡/月,租售比 25%-35%。</w:t>
      </w:r>
    </w:p>
    <w:p>
      <w:r>
        <w:t>2.4 D 级门店:到店坪效&lt;1000 元/㎡/月或租售比&gt;35%,列为整改或闭店候选。</w:t>
      </w:r>
    </w:p>
    <w:p>
      <w:pPr>
        <w:pStyle w:val="Heading1"/>
      </w:pPr>
      <w:r>
        <w:t>3. O2O 履约规则</w:t>
      </w:r>
    </w:p>
    <w:p>
      <w:r>
        <w:t>3.1 门店发货、到店自提订单计入线上渠道,同时按发货/自提归属计入门店履约贡献。</w:t>
      </w:r>
    </w:p>
    <w:p>
      <w:r>
        <w:t>3.2 即时配送订单归属即时零售渠道,履约成本由渠道承担。</w:t>
      </w:r>
    </w:p>
    <w:p>
      <w:r>
        <w:t>3.3 门店履约贡献(发货+自提订单的销售收入)计入《门店经营台账》的"门店 O2O 履约贡献"字段。</w:t>
      </w:r>
    </w:p>
    <w:p>
      <w:r>
        <w:t>3.4 门店仅承担履约侧的人工与包装成本(对应《门店费用》中的"履约包装"字段)。</w:t>
      </w:r>
    </w:p>
    <w:p>
      <w:pPr>
        <w:pStyle w:val="Heading1"/>
      </w:pPr>
      <w:r>
        <w:t>4. 数据来源优先级</w:t>
      </w:r>
    </w:p>
    <w:p>
      <w:r>
        <w:t>4.1 财务确认收入优先于业务系统数据。</w:t>
      </w:r>
    </w:p>
    <w:p>
      <w:r>
        <w:t>4.2 冲突时以渠道销售明细和门店台账交叉验证。</w:t>
      </w:r>
    </w:p>
    <w:p>
      <w:r>
        <w:t>4.3 无法确认时标记"待补",不得用假设补齐事实。</w:t>
      </w:r>
    </w:p>
    <w:p>
      <w:pPr>
        <w:pStyle w:val="Heading1"/>
      </w:pPr>
      <w:r>
        <w:t>5. 缺失与异常处理</w:t>
      </w:r>
    </w:p>
    <w:p>
      <w:r>
        <w:t>5.1 允许披露、待补、缩小范围、局部隔离、负向结论。</w:t>
      </w:r>
    </w:p>
    <w:p>
      <w:r>
        <w:t>5.2 不得虚构事实,不得用外部数据替代题内材料。</w:t>
      </w:r>
    </w:p>
    <w:p>
      <w:pPr>
        <w:pStyle w:val="Heading1"/>
      </w:pPr>
      <w:r>
        <w:t>6. 闭店与改造条件</w:t>
      </w:r>
    </w:p>
    <w:p>
      <w:r>
        <w:t>6.1 租约到期且连续 6 个月 D 级,可启动闭店评估。</w:t>
      </w:r>
    </w:p>
    <w:p>
      <w:r>
        <w:t>6.2 租售比连续 3 个月&gt;35%,可转为前置仓或自提点。</w:t>
      </w:r>
    </w:p>
    <w:p>
      <w:r>
        <w:t>6.3 面积调整门店不计入同店口径。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