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07" w:lineRule="auto"/>
        <w:jc w:val="center"/>
      </w:pPr>
      <w:r>
        <w:rPr>
          <w:b/>
          <w:sz w:val="44"/>
        </w:rPr>
        <w:t>2026H2 渠道与门店经营策略报告</w:t>
      </w:r>
    </w:p>
    <w:p>
      <w:pPr>
        <w:spacing w:after="360" w:line="307" w:lineRule="auto"/>
        <w:jc w:val="center"/>
      </w:pPr>
      <w:r>
        <w:rPr>
          <w:b w:val="0"/>
          <w:sz w:val="24"/>
        </w:rPr>
        <w:t>——六渠道结构调整、42家门店分级与促销资源再配置</w:t>
      </w:r>
    </w:p>
    <w:p>
      <w:pPr>
        <w:spacing w:after="60" w:line="307" w:lineRule="auto"/>
        <w:jc w:val="center"/>
      </w:pPr>
      <w:r>
        <w:rPr>
          <w:b w:val="0"/>
        </w:rPr>
        <w:t>评价期间:2026年1月1日 — 2026年6月30日</w:t>
      </w:r>
    </w:p>
    <w:p>
      <w:pPr>
        <w:spacing w:after="60" w:line="307" w:lineRule="auto"/>
        <w:jc w:val="center"/>
      </w:pPr>
      <w:r>
        <w:rPr>
          <w:b w:val="0"/>
        </w:rPr>
        <w:t>提交对象:集团管理层 · 2026年H2战略复盘会</w:t>
      </w:r>
    </w:p>
    <w:p>
      <w:pPr>
        <w:spacing w:after="60" w:line="307" w:lineRule="auto"/>
        <w:jc w:val="center"/>
      </w:pPr>
      <w:r>
        <w:rPr>
          <w:b w:val="0"/>
          <w:sz w:val="18"/>
        </w:rPr>
        <w:t>数据依据:2026H1渠道销售明细、门店经营台账、线上投放与平台费用、会员与跨渠道订单、促销活动记录、华东区门店租约汇总、《渠道与门店管理策略》v2026.09、SKU主数据</w:t>
      </w:r>
    </w:p>
    <w:p>
      <w:pPr>
        <w:spacing w:after="320" w:line="307" w:lineRule="auto"/>
        <w:jc w:val="center"/>
      </w:pPr>
      <w:r>
        <w:rPr>
          <w:b w:val="0"/>
          <w:sz w:val="18"/>
        </w:rPr>
        <w:t>配套表格:《门店分级与调整建议.xlsx》《渠道资源再配置建议.xlsx》《促销组合优化建议.xlsx》(本报告全部数字与三份表格同源同口径)</w:t>
      </w:r>
    </w:p>
    <w:p>
      <w:pPr>
        <w:spacing w:after="80" w:line="307" w:lineRule="auto"/>
        <w:jc w:val="center"/>
      </w:pPr>
      <w:r>
        <w:rPr>
          <w:b w:val="0"/>
          <w:sz w:val="18"/>
        </w:rPr>
        <w:t>说明:本报告严格区分【实际表现】(取自附件数据)、【计划目标/建议】(本报告提出,未经集团批准)、【代理估算】(因基准缺失而采用的替代指标)、【专家判断】(基于证据的业务判断)四类信息,并在正文中以方括号标签标注。凡材料无法交叉印证的事实,均以"待补项"列示,不以推测填补。</w:t>
      </w:r>
    </w:p>
    <w:p>
      <w:r>
        <w:br w:type="page"/>
      </w:r>
    </w:p>
    <w:p>
      <w:pPr>
        <w:pStyle w:val="Heading1"/>
      </w:pPr>
      <w:r>
        <w:t>一、执行摘要与关键判断</w:t>
      </w:r>
    </w:p>
    <w:p>
      <w:pPr>
        <w:spacing w:after="80" w:line="307" w:lineRule="auto"/>
      </w:pPr>
      <w:r>
        <w:rPr>
          <w:b w:val="0"/>
        </w:rPr>
        <w:t>2026年H1,公司线上六渠道实现净收入21,596,523元、商品毛利7,239,358元(毛利率33.52%),扣除广告、平台佣金与技术服务、支付、履约、包装、退货售后及其他费用合计7,581,868元后,六渠道费后贡献为-342,510元(贡献率-1.59%)。同期42家门店到店销售额151,060,565元、门店口径经营利润22,140,854元,并承担了线上订单中10,762,261元的O2O履约贡献(相当于线上渠道净收入的49.8%)。</w:t>
      </w:r>
    </w:p>
    <w:p>
      <w:pPr>
        <w:spacing w:after="160" w:line="307" w:lineRule="auto"/>
      </w:pPr>
      <w:r>
        <w:rPr>
          <w:b w:val="0"/>
        </w:rPr>
        <w:t>以下8项为需要管理层在本次复盘会上形成决议的关键判断,每项均标注可回指的数据来源。</w:t>
      </w:r>
    </w:p>
    <w:p>
      <w:pPr>
        <w:spacing w:after="40" w:line="307" w:lineRule="auto"/>
      </w:pPr>
      <w:r>
        <w:rPr>
          <w:b/>
        </w:rPr>
        <w:t>判断1:线上业务在H1整体不赚钱,收入排名与赚钱排名不是一回事。</w:t>
      </w:r>
    </w:p>
    <w:p>
      <w:pPr>
        <w:spacing w:after="40" w:line="307" w:lineRule="auto"/>
        <w:ind w:left="283"/>
      </w:pPr>
      <w:r>
        <w:rPr>
          <w:b w:val="0"/>
        </w:rPr>
        <w:t>六渠道中五个渠道费后贡献为负,仅微信小程序(CH02)为正(66,953元、贡献率3.75%)。收入第一的抖音小店(CH05)净收入6,688,143元、占比31.0%,但费后贡献-151,973元,是绝对亏损最大的渠道;收入最小的CH02反而是唯一盈利渠道。六渠道毛利率集中在31.7%-34.5%的窄区间,而费用率在28.9%-40.4%之间分化,说明渠道之间的差距不在商品毛利,而在费用效率。【实际表现】依据:《渠道销售明细》《渠道月度汇总》《渠道月度费用》,见《渠道资源再配置建议.xlsx》表1。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▸ 重要限制:《渠道月度费用》表自带的"毛利"列合计8,335,779元,比销售明细与月度汇总两份来源交叉一致的7,239,358元高1,096,421元(+15.1%)。若财务确认以费用表毛利为准,六渠道费后贡献合计将由-342,510元转为+753,911元,本判断的方向将改变。本报告按制度4.2采用两份来源交叉一致的口径,并将该口径分歧列为待补项C-09,建议在复盘会前完成确认。</w:t>
      </w:r>
    </w:p>
    <w:p>
      <w:pPr>
        <w:spacing w:after="40" w:line="307" w:lineRule="auto"/>
      </w:pPr>
      <w:r>
        <w:rPr>
          <w:b/>
        </w:rPr>
        <w:t>判断2:渠道集中度已构成盈利风险,但收缩不能等比压缩。</w:t>
      </w:r>
    </w:p>
    <w:p>
      <w:pPr>
        <w:spacing w:after="160" w:line="307" w:lineRule="auto"/>
        <w:ind w:left="283"/>
      </w:pPr>
      <w:r>
        <w:rPr>
          <w:b w:val="0"/>
        </w:rPr>
        <w:t>天猫(CH03)与抖音(CH05)合计占净收入60.5%、占毛利61.2%,两渠道广告费合计2,118,565元(占全渠道广告费63.2%),赫芬达尔指数0.223。集中度带来的问题不是规模风险而是费用刚性:这两个渠道同时也是费用率最高的两个渠道(35.08%、35.65%)。【专家判断】但按平均"毛利/广告费"倍数看,CH05为2.04倍、CH03为2.15倍,若按平均效率等比削减广告,毛利下降可能超过费用节约。因此收缩必须结构化,落在已识别的亏损活动与破价SKU上,而非按渠道等比砍预算。</w:t>
      </w:r>
    </w:p>
    <w:p>
      <w:pPr>
        <w:spacing w:after="40" w:line="307" w:lineRule="auto"/>
      </w:pPr>
      <w:r>
        <w:rPr>
          <w:b/>
        </w:rPr>
        <w:t>判断3:自营APP(CH01)是效率问题最严重的战略渠道。</w:t>
      </w:r>
    </w:p>
    <w:p>
      <w:pPr>
        <w:spacing w:after="160" w:line="307" w:lineRule="auto"/>
        <w:ind w:left="283"/>
      </w:pPr>
      <w:r>
        <w:rPr>
          <w:b w:val="0"/>
        </w:rPr>
        <w:t>CH01广告费率18.69%为六渠道最高(CH02仅9.28%),毛利/广告费仅1.73倍(CH02为3.52倍),费后贡献-166,348元、贡献率-8.06%。促销侧5个活动ROI合计1.43倍(六渠道次低),活动明细破价率53.7%为六渠道最高。会员侧,CH01注册的231名会员中仅20人首购发生在CH01(9.7%)。【实际表现】制度1.1将自营APP列为战略渠道并要求优先保障资源,因此本报告的建议是"渠道地位维持、投放与破价结构性收缩",不是降低其战略定位。</w:t>
      </w:r>
    </w:p>
    <w:p>
      <w:pPr>
        <w:spacing w:after="40" w:line="307" w:lineRule="auto"/>
      </w:pPr>
      <w:r>
        <w:rPr>
          <w:b/>
        </w:rPr>
        <w:t>判断4:42家门店按集团现行标准分级为A级2家、B级17家、C级17家、D级6家,全量无遗漏。</w:t>
      </w:r>
    </w:p>
    <w:p>
      <w:pPr>
        <w:spacing w:after="160" w:line="307" w:lineRule="auto"/>
        <w:ind w:left="283"/>
      </w:pPr>
      <w:r>
        <w:rPr>
          <w:b w:val="0"/>
        </w:rPr>
        <w:t>分级直接沿用《渠道与门店管理策略》第2章标准,未另建评分体系。D级6家(S002、S006、S012、S018、S021、S036)H1合计亏损-1,960,796元,占全部亏损门店(9家、合计-2,107,208元)的93.1%。A级2家(S005、S031)为条件性判定:制度2.1的A级还要求同店增长≥5%,而材料未提供2025年同期基准,42家门店均无法计算同店增长。【代理估算】以H1内Q2/Q1替代测算,S005为+3.1%、S031为-1.4%,均未达5%;若集团认可代理口径,两店应暂列B级。该项列为待补T-02。</w:t>
      </w:r>
    </w:p>
    <w:p>
      <w:pPr>
        <w:spacing w:after="40" w:line="307" w:lineRule="auto"/>
      </w:pPr>
      <w:r>
        <w:rPr>
          <w:b/>
        </w:rPr>
        <w:t>判断5:门店承担了线上渠道近一半的履约,这部分贡献已完成交叉验证,并在分级中完整披露。</w:t>
      </w:r>
    </w:p>
    <w:p>
      <w:pPr>
        <w:spacing w:after="40" w:line="307" w:lineRule="auto"/>
        <w:ind w:left="283"/>
      </w:pPr>
      <w:r>
        <w:rPr>
          <w:b w:val="0"/>
        </w:rPr>
        <w:t>42家门店台账"门店O2O履约贡献"合计10,762,261元,与《渠道销售明细》中发货方式为"门店发货""到店自提"的净收入合计完全一致(差异0元),该字段可核。制度3.1明确该收入计入线上渠道、同时按履约归属计入门店贡献,制度2.1-2.4的分级指标为"到店坪效",因此主口径不把O2O收入并入坪效分子。为回应区域负责人的公平性关切,《门店分级与调整建议.xlsx》并列"坪效含O2O""租售比含O2O"与"含O2O口径分级"三列:含O2O口径下7家门店升一档(S001、S019、S025、S028、S040由C→B;S006、S012由D→C),其余35家不变。【实际表现】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▸ 需要提示的反向事实:店型标注为"前置仓"的10家门店O2O占比均值仅8.5%,低于"标准店"的10.7%,说明店型标签与实际履约结构并不匹配。因此"前置仓被到店坪效指标系统性低估"这一常见申辩在本期数据中不成立;真正被低估的是S001、S040、S012等O2O占比14.7%-19.9%的门店,已在含O2O口径中逐店披露。</w:t>
      </w:r>
    </w:p>
    <w:p>
      <w:pPr>
        <w:spacing w:after="40" w:line="307" w:lineRule="auto"/>
      </w:pPr>
      <w:r>
        <w:rPr>
          <w:b/>
        </w:rPr>
        <w:t>判断6:仅2家门店具备制度支持的关停路径,其余D级门店只能走整改或转型。</w:t>
      </w:r>
    </w:p>
    <w:p>
      <w:pPr>
        <w:spacing w:after="40" w:line="307" w:lineRule="auto"/>
        <w:ind w:left="283"/>
      </w:pPr>
      <w:r>
        <w:rPr>
          <w:b w:val="0"/>
        </w:rPr>
        <w:t>制度6.1要求"租约到期且连续6个月D级",6.2要求"租售比连续3个月&gt;35%"。全量核对结果:连续6个月D级的6家,其中租售比连续&gt;35%的仅S036(6个月),同时触发6.1与6.2;S021租约2026-09-16在H2内到期、连续6个月D级,符合6.1的分级要件;S002、S012、S018租约载明到期日已早于评价期末但台账状态仍为"营业",续租状态未确认;S006租约至2028-02-09,两项条件均不满足,制度未授权对其提出关停或转型,只能列整改。【实际表现+专家判断】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▸ 租约约束必须与动作同时提交:13家门店的租约载明到期日早于2026-06-30而台账状态为"营业",续租是否发生、续租后的租金与闭店条款材料均未载明(待补T-09)。若上述门店实际已续租,任何提前退出都须按"提前90天书面通知+违约金"执行,S002、S012、S018、S036四店违约金合计447,036元。只看经营指标提关停,在租约层面站不住。</w:t>
      </w:r>
    </w:p>
    <w:p>
      <w:pPr>
        <w:spacing w:after="40" w:line="307" w:lineRule="auto"/>
      </w:pPr>
      <w:r>
        <w:rPr>
          <w:b/>
        </w:rPr>
        <w:t>判断7:促销整体创造价值,但直播类是明确的价值破坏点,且破价是毛利损耗主因。</w:t>
      </w:r>
    </w:p>
    <w:p>
      <w:pPr>
        <w:spacing w:after="160" w:line="307" w:lineRule="auto"/>
        <w:ind w:left="283"/>
      </w:pPr>
      <w:r>
        <w:rPr>
          <w:b w:val="0"/>
        </w:rPr>
        <w:t>50个活动实际费用829,351元、增量毛利2,563,434元、净贡献1,734,083元,整体ROI 3.09倍(ROI口径为增量毛利/实际费用,与《活动效果》表一致)。五类活动中节日促销3.75、会员日3.49、折扣3.39、满减3.07,直播仅1.68且8场中5场ROI&lt;1。12个ROI&lt;1的活动合计净贡献-131,675元。价格侧:604条活动SKU行中246行(40.7%)活动价低于SKU主数据"建议最低售价",这246行合计毛利为-38,948元;112行毛利为负,合计-226,150元,其中CH05占61.6%。【实际表现】</w:t>
      </w:r>
    </w:p>
    <w:p>
      <w:pPr>
        <w:spacing w:after="40" w:line="307" w:lineRule="auto"/>
      </w:pPr>
      <w:r>
        <w:rPr>
          <w:b/>
        </w:rPr>
        <w:t>判断8:多渠道并行未产生可验证的协同溢价,蚕食证据更充分;渠道取舍与会员运营必须同向。</w:t>
      </w:r>
    </w:p>
    <w:p>
      <w:pPr>
        <w:spacing w:after="40" w:line="307" w:lineRule="auto"/>
        <w:ind w:left="283"/>
      </w:pPr>
      <w:r>
        <w:rPr>
          <w:b w:val="0"/>
        </w:rPr>
        <w:t>2,500名会员中2,269人有购买记录。累计消费随购买渠道个数上升(1个渠道2,027元→5个渠道9,434元),但该字段与订单数高度同构;在控制订单数后,客单价不随渠道广度上升(订单数=4时单渠道会员1,932元 vs 四渠道会员1,517元;订单数=5时1,898元 vs 1,447元)。六渠道两两会员重叠率与"按对方渠道规模计算的随机重叠预期"几乎相同,不存在特定渠道对的协同放大。CH03与CH05共同会员694人(占有购买会员的30.6%),两渠道广告费合计占全渠道63.2%,构成同一批用户被重复投放。注册渠道与首购渠道一致的仅22.1%。【实际表现+专家判断】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▸ 必须声明的限制:《会员基础》"状态"与《跨渠道行为》"流失标记"两个字段相互独立,且与"最近购买日期距6月30日天数"的分布完全无差异(标记为流失者均值55.8天,未流失者56.3天)。因此任何基于留存率的渠道优劣结论均不成立,本报告的渠道取舍不以留存率为依据(待补C-04)。</w:t>
      </w:r>
    </w:p>
    <w:p>
      <w:r>
        <w:br w:type="page"/>
      </w:r>
    </w:p>
    <w:p>
      <w:pPr>
        <w:pStyle w:val="Heading1"/>
      </w:pPr>
      <w:r>
        <w:t>二、评价期间、数据口径与数据时效性说明</w:t>
      </w:r>
    </w:p>
    <w:p>
      <w:pPr>
        <w:pStyle w:val="Heading2"/>
      </w:pPr>
      <w:r>
        <w:t>2.1 评价期间与数据完整性</w:t>
      </w:r>
    </w:p>
    <w:p>
      <w:pPr>
        <w:pStyle w:val="ListBullet"/>
        <w:spacing w:after="40" w:line="300" w:lineRule="auto"/>
        <w:ind w:left="454"/>
      </w:pPr>
      <w:r>
        <w:t>评价期间:2026-01-01至2026-06-30。《渠道销售明细》7,500行订单明细,订单日期最早2026-01-01、最晚2026-06-30,无越界记录。</w:t>
      </w:r>
    </w:p>
    <w:p>
      <w:pPr>
        <w:pStyle w:val="ListBullet"/>
        <w:spacing w:after="40" w:line="300" w:lineRule="auto"/>
        <w:ind w:left="454"/>
      </w:pPr>
      <w:r>
        <w:t>门店台账:42家门店×6个月=252条月度经营记录与252条费用记录,无缺失,门店基础信息42条与《华东区门店租约汇总》42份租约一一对应。</w:t>
      </w:r>
    </w:p>
    <w:p>
      <w:pPr>
        <w:pStyle w:val="ListBullet"/>
        <w:spacing w:after="40" w:line="300" w:lineRule="auto"/>
        <w:ind w:left="454"/>
      </w:pPr>
      <w:r>
        <w:t>促销:50个活动,开始日期全部在评价期内;结束日期最晚为2026-07-05。</w:t>
      </w:r>
    </w:p>
    <w:p>
      <w:pPr>
        <w:pStyle w:val="ListBullet"/>
        <w:spacing w:after="40" w:line="300" w:lineRule="auto"/>
        <w:ind w:left="454"/>
      </w:pPr>
      <w:r>
        <w:t>会员:《会员基础》2,500人,其中2,269人在《跨渠道行为》与《会员订单》中有记录,231人(9.2%)两表均无记录。</w:t>
      </w:r>
    </w:p>
    <w:p>
      <w:pPr>
        <w:pStyle w:val="ListBullet"/>
        <w:spacing w:after="40" w:line="300" w:lineRule="auto"/>
        <w:ind w:left="454"/>
      </w:pPr>
      <w:r>
        <w:t>渠道费用:六渠道×6个月=36条月度费用记录,无缺失;《投放明细》180条、《平台佣金规则》36条(6渠道×6品类)。</w:t>
      </w:r>
    </w:p>
    <w:p>
      <w:pPr>
        <w:pStyle w:val="Heading2"/>
      </w:pPr>
      <w:r>
        <w:t>2.2 本报告采用的核心口径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7"/>
              </w:rPr>
              <w:t>指标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b/>
                <w:sz w:val="17"/>
              </w:rPr>
              <w:t>本报告口径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17"/>
              </w:rPr>
              <w:t>选择理由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7"/>
              </w:rPr>
              <w:t>渠道净收入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7"/>
              </w:rPr>
              <w:t>收入-退款金额(《渠道销售明细》"净收入"字段,已逐行验证=收入-退款)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与《渠道月度汇总》"净收入"逐渠道完全一致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7"/>
              </w:rPr>
              <w:t>渠道毛利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7"/>
              </w:rPr>
              <w:t>净收入-商品成本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《渠道销售明细》与《渠道月度汇总》两份来源逐渠道完全一致;《渠道月度费用》的"毛利"列为三份来源中的离群值(高15.1%),按制度4.2取交叉验证一致口径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7"/>
              </w:rPr>
              <w:t>渠道费后贡献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7"/>
              </w:rPr>
              <w:t>毛利-(广告费+平台佣金+技术服务费+支付手续费+履约费+包装费+退货售后费+其他费用)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制度1.2按利润贡献分级、1.3考核履约成本,需在毛利之外计入全部渠道侧费用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7"/>
              </w:rPr>
              <w:t>门店到店坪效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7"/>
              </w:rPr>
              <w:t>到店销售额÷营业面积÷6个月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制度2.1-2.4明文指标为"到店坪效",不含线上收入(制度3.1规定线上订单收入计入线上渠道)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7"/>
              </w:rPr>
              <w:t>门店租售比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7"/>
              </w:rPr>
              <w:t>《门店费用》租金÷到店销售额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制度4.2以门店台账交叉验证;另以租约载明租金与含O2O分母两个口径做敏感性,结论不变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7"/>
              </w:rPr>
              <w:t>门店经营利润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7"/>
              </w:rPr>
              <w:t>毛利额-(租金+人力+营销+水电+履约包装+其他+折旧摊销)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台账可得的全部门店侧费用;不含总部分摊(分摊规则未载明,待补T-08)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7"/>
              </w:rPr>
              <w:t>促销ROI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7"/>
              </w:rPr>
              <w:t>增量毛利÷实际费用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经50个活动逐条核算,与《活动效果》表"ROI"列一致(最大偏差0.0049);非"增量销售额÷实际费用"(该口径下均值为9.89倍,相差近一倍)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7"/>
              </w:rPr>
              <w:t>H1可比费用池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7"/>
              </w:rPr>
              <w:t>渠道广告费3,349,954元+促销活动实际费用829,351元=4,179,305元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两科目的从属关系材料未载明,按并列科目处理(待补P-01)</w:t>
            </w:r>
          </w:p>
        </w:tc>
      </w:tr>
    </w:tbl>
    <w:p>
      <w:pPr>
        <w:spacing w:after="40"/>
      </w:pPr>
    </w:p>
    <w:p>
      <w:pPr>
        <w:pStyle w:val="Heading2"/>
      </w:pPr>
      <w:r>
        <w:t>2.3 已完成交叉验证、可对外核对的事项</w:t>
      </w:r>
    </w:p>
    <w:p>
      <w:pPr>
        <w:pStyle w:val="ListBullet"/>
        <w:spacing w:after="40" w:line="300" w:lineRule="auto"/>
        <w:ind w:left="454"/>
      </w:pPr>
      <w:r>
        <w:t>《渠道销售明细》逐渠道汇总与《渠道月度汇总》的收入、退款、净收入、商品成本、毛利、订单量六项全部一致(差异&lt;1e-9)。</w:t>
      </w:r>
    </w:p>
    <w:p>
      <w:pPr>
        <w:pStyle w:val="ListBullet"/>
        <w:spacing w:after="40" w:line="300" w:lineRule="auto"/>
        <w:ind w:left="454"/>
      </w:pPr>
      <w:r>
        <w:t>《渠道退款明细》626笔、1,243,469.41元与销售明细"退款金额"合计完全一致,订单号100%可匹配。</w:t>
      </w:r>
    </w:p>
    <w:p>
      <w:pPr>
        <w:pStyle w:val="ListBullet"/>
        <w:spacing w:after="40" w:line="300" w:lineRule="auto"/>
        <w:ind w:left="454"/>
      </w:pPr>
      <w:r>
        <w:t>42家门店台账"门店O2O履约贡献"合计10,762,260.51元=《渠道销售明细》中"门店发货"+"到店自提"净收入合计,逐店差异为0。</w:t>
      </w:r>
    </w:p>
    <w:p>
      <w:pPr>
        <w:pStyle w:val="ListBullet"/>
        <w:spacing w:after="40" w:line="300" w:lineRule="auto"/>
        <w:ind w:left="454"/>
      </w:pPr>
      <w:r>
        <w:t>会员"累计消费"与其《会员订单》金额合计逐人一致;"最近购买日期"与订单最大日期逐人一致;"跨渠道购买次数"=复购渠道个数=实际购买渠道数,三者完全一致。</w:t>
      </w:r>
    </w:p>
    <w:p>
      <w:pPr>
        <w:pStyle w:val="ListBullet"/>
        <w:spacing w:after="40" w:line="300" w:lineRule="auto"/>
        <w:ind w:left="454"/>
      </w:pPr>
      <w:r>
        <w:t>《活动效果》"增量销售额"=活动期间销售额-活动前销售额,50个活动逐条核对偏差为0。</w:t>
      </w:r>
    </w:p>
    <w:p>
      <w:pPr>
        <w:pStyle w:val="ListBullet"/>
        <w:spacing w:after="40" w:line="300" w:lineRule="auto"/>
        <w:ind w:left="454"/>
      </w:pPr>
      <w:r>
        <w:t>以租约载明月租金替代台账租金重算租售比后,42家门店A/B/C/D分级结果0家变动。</w:t>
      </w:r>
    </w:p>
    <w:p>
      <w:pPr>
        <w:pStyle w:val="Heading2"/>
      </w:pPr>
      <w:r>
        <w:t>2.4 数据冲突与待补项(不以推测填补)</w:t>
      </w:r>
    </w:p>
    <w:p>
      <w:pPr>
        <w:spacing w:after="120" w:line="307" w:lineRule="auto"/>
      </w:pPr>
      <w:r>
        <w:rPr>
          <w:b w:val="0"/>
        </w:rPr>
        <w:t>以下事项材料无法交叉印证,已在三份配套表格的"待补项清单"中逐条列示需补充来源与补齐后可能改变的结论。此处列出对管理层决议影响最大的6项。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907"/>
          </w:tcPr>
          <w:p>
            <w:pPr>
              <w:jc w:val="center"/>
            </w:pPr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3175"/>
          </w:tcPr>
          <w:p>
            <w:pPr>
              <w:jc w:val="center"/>
            </w:pPr>
            <w:r/>
            <w:r>
              <w:rPr>
                <w:b/>
                <w:sz w:val="17"/>
              </w:rPr>
              <w:t>冲突/缺失事项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b/>
                <w:sz w:val="17"/>
              </w:rPr>
              <w:t>当前处理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  <w:r>
              <w:rPr>
                <w:b/>
                <w:sz w:val="17"/>
              </w:rPr>
              <w:t>补齐后可能改变的结论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C-09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7"/>
              </w:rPr>
              <w:t>《渠道月度费用》"毛利"列比另两份来源高1,096,421元(+15.1%)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7"/>
              </w:rPr>
              <w:t>采用两份来源交叉一致的口径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7"/>
              </w:rPr>
              <w:t>六渠道费后贡献合计由-342,510元转为+753,911元,"线上整体费后亏损"的判断改变(优先级最高)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C-02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7"/>
              </w:rPr>
              <w:t>制度3.2规定即时配送订单归属即时零售渠道,但明细中1,926笔即时配送订单分布于全部六渠道,渠道归属字段与渠道ID完全相同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7"/>
              </w:rPr>
              <w:t>按数据现状(渠道归属=渠道ID)评价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7"/>
              </w:rPr>
              <w:t>若按制度3.2重归属,CH06净收入由1,989,005元升至约7,051,535元(+254%),六渠道规模排序与投入建议须重做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T-02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7"/>
              </w:rPr>
              <w:t>无2025年同期门店销售基准,制度2.1的A级要求同店增长≥5%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7"/>
              </w:rPr>
              <w:t>A级标注为条件性,并给出Q2/Q1代理值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7"/>
              </w:rPr>
              <w:t>S005、S031可能由A降为B,标杆店与资源优先对象调整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T-09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7"/>
              </w:rPr>
              <w:t>13家门店租约载明到期日早于2026-06-30,台账状态仍为"营业";续租条款未载明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7"/>
              </w:rPr>
              <w:t>关停/退出动作全部附条件表述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7"/>
              </w:rPr>
              <w:t>直接决定S002、S012、S018、S036能否按到期退出执行,以及是否需支付违约金(四店合计424,886元)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T-01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7"/>
              </w:rPr>
              <w:t>制度给出坪效与租售比的区间组合,未规定两项指标落在不同档位时的定级方法(34/42家涉及)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7"/>
              </w:rPr>
              <w:t>以坪效定主档、租售比为档位上限约束,超上限降一档;D为"或"条件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7"/>
              </w:rPr>
              <w:t>若改为"双指标须同档",A/B/C分布与资源优先级排序变化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C-04</w:t>
            </w:r>
          </w:p>
        </w:tc>
        <w:tc>
          <w:tcPr>
            <w:tcW w:type="dxa" w:w="3175"/>
          </w:tcPr>
          <w:p>
            <w:pPr>
              <w:spacing w:after="20"/>
            </w:pPr>
            <w:r/>
            <w:r>
              <w:rPr>
                <w:sz w:val="17"/>
              </w:rPr>
              <w:t>会员"状态"与"流失标记"相互独立,且与最近购买日期无相关性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7"/>
              </w:rPr>
              <w:t>不以留存率作为任何渠道结论的依据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sz w:val="17"/>
              </w:rPr>
              <w:t>若修复后各渠道留存出现真实差异,渠道增投/收缩的优先顺序可能调整</w:t>
            </w:r>
          </w:p>
        </w:tc>
      </w:tr>
    </w:tbl>
    <w:p>
      <w:pPr>
        <w:spacing w:after="40"/>
      </w:pPr>
    </w:p>
    <w:p>
      <w:pPr>
        <w:pStyle w:val="Heading2"/>
      </w:pPr>
      <w:r>
        <w:t>2.5 跨越H1截止日的事项及其归属</w:t>
      </w:r>
    </w:p>
    <w:p>
      <w:pPr>
        <w:pStyle w:val="ListBullet"/>
        <w:spacing w:after="40" w:line="300" w:lineRule="auto"/>
        <w:ind w:left="454"/>
      </w:pPr>
      <w:r>
        <w:t>退款:626笔退款中61笔、103,342元的退款日期在2026-06-30之后(最晚2026-07-29),按退款日期不属于H1当期确认事项。本报告的渠道净收入按《渠道销售明细》"净收入"字段计算,该字段已扣减包含上述61笔在内的全部退款,即H1净收入实际处于"已扣减跨期退款"的口径。若严格按退款确认日期划分,H1净收入应上调103,342元(占净收入0.48%),六渠道费后贡献与贡献率排序不变。门店台账"退货额"是否已包含该部分,材料未载明(待补T-07)。</w:t>
      </w:r>
    </w:p>
    <w:p>
      <w:pPr>
        <w:pStyle w:val="ListBullet"/>
        <w:spacing w:after="40" w:line="300" w:lineRule="auto"/>
        <w:ind w:left="454"/>
      </w:pPr>
      <w:r>
        <w:t>促销:2个活动跨越评价期末——A008(CH05直播,2026-06-26至07-04,实际费用26,106元,阶段ROI 0.26)、A039(CH03节日促销,2026-06-20至07-05,实际费用3,094元,阶段ROI 19.99)。两场活动截至6月30日效果均未完整实现,其ROI为阶段值,不得作为最终结果引用。剔除该两场后,五类活动的效率排序不变(直播仍最低、节日促销仍最高)。</w:t>
      </w:r>
    </w:p>
    <w:p>
      <w:pPr>
        <w:pStyle w:val="ListBullet"/>
        <w:spacing w:after="40" w:line="300" w:lineRule="auto"/>
        <w:ind w:left="454"/>
      </w:pPr>
      <w:r>
        <w:t>活动结算:50个活动实际费用合计829,351元对应预算833,510元(执行率99.5%),但17个活动实际费用超预算,超支合计41,440元,是否存在6月30日后仍在结算的活动费用,材料未载明。</w:t>
      </w:r>
    </w:p>
    <w:p>
      <w:pPr>
        <w:pStyle w:val="ListBullet"/>
        <w:spacing w:after="40" w:line="300" w:lineRule="auto"/>
        <w:ind w:left="454"/>
      </w:pPr>
      <w:r>
        <w:t>制度生效时点:《渠道与门店管理策略》版本号为v2026.09,晚于本次评价期间(2026H1)。该制度对H1经营行为是否具有追溯效力,材料未载明。本报告按任务要求以其载明的业务规则作为分级与判定依据,并提示:若制度为H1之后新订且不追溯,则H1门店分级应视为"按新标准的回溯评估"而非当期考核结果,对区域负责人的考核适用性需集团另行裁定(待补T-11)。</w:t>
      </w:r>
    </w:p>
    <w:p>
      <w:pPr>
        <w:pStyle w:val="ListBullet"/>
        <w:spacing w:after="40" w:line="300" w:lineRule="auto"/>
        <w:ind w:left="454"/>
      </w:pPr>
      <w:r>
        <w:t>会员:《会员基础》注册日期最晚为2026-01-01,评价期内实质无新增注册样本,因此本报告不对H1拉新效果作结论。</w:t>
      </w:r>
    </w:p>
    <w:p>
      <w:r>
        <w:br w:type="page"/>
      </w:r>
    </w:p>
    <w:p>
      <w:pPr>
        <w:pStyle w:val="Heading1"/>
      </w:pPr>
      <w:r>
        <w:t>三、渠道结构诊断与资源调整方向</w:t>
      </w:r>
    </w:p>
    <w:p>
      <w:pPr>
        <w:pStyle w:val="Heading2"/>
      </w:pPr>
      <w:r>
        <w:t>3.1 六渠道全景:收入排名与盈利排名的背离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  <w:gridCol w:w="886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7"/>
              </w:rPr>
              <w:t>渠道ID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17"/>
              </w:rPr>
              <w:t>渠道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17"/>
              </w:rPr>
              <w:t>类型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7"/>
              </w:rPr>
              <w:t>H1净收入(元)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17"/>
              </w:rPr>
              <w:t>收入占比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17"/>
              </w:rPr>
              <w:t>毛利率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17"/>
              </w:rPr>
              <w:t>费用率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/>
                <w:sz w:val="17"/>
              </w:rPr>
              <w:t>费后贡献(元)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17"/>
              </w:rPr>
              <w:t>贡献率</w:t>
            </w:r>
          </w:p>
        </w:tc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17"/>
              </w:rPr>
              <w:t>广告费率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/>
                <w:sz w:val="17"/>
              </w:rPr>
              <w:t>毛利/广告(倍)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CH01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自营APP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自营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2,063,658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9.6%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32.36%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40.42%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-166,348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-8.06%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18.7%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1.73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CH02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微信小程序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自营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1,783,824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8.3%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32.66%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28.90%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66,953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3.75%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9.3%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3.52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CH03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天猫旗舰店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平台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6,387,254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29.6%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34.46%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35.08%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-39,612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-0.62%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16.0%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2.15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CH04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京东自营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平台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2,684,639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12.4%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34.49%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34.95%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-12,374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-0.46%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15.1%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2.28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CH05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抖音小店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平台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6,688,143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31.0%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33.37%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35.65%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-151,973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-2.27%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16.4%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2.04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CH06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美团闪购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即时零售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1,989,005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9.2%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31.68%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33.65%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-39,156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-1.97%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13.8%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2.30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7"/>
              </w:rPr>
              <w:t>合计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21,596,523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100.0%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33.52%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35.11%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-342,510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-1.59%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15.5%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7"/>
              </w:rPr>
              <w:t>2.16</w:t>
            </w:r>
          </w:p>
        </w:tc>
      </w:tr>
    </w:tbl>
    <w:p>
      <w:pPr>
        <w:spacing w:after="40"/>
      </w:pPr>
    </w:p>
    <w:p>
      <w:pPr>
        <w:spacing w:after="160" w:line="307" w:lineRule="auto"/>
      </w:pPr>
      <w:r>
        <w:rPr>
          <w:b w:val="0"/>
        </w:rPr>
        <w:t>表读法:六渠道毛利率集中在31.68%-34.87%(极差3.2个百分点),而费用率分化于28.90%-40.42%(极差11.5个百分点)。这意味着"哪个渠道赚钱"几乎完全由费用效率决定,而不是由商品毛利或收入规模决定。按净收入排序为CH05&gt;CH03&gt;CH04&gt;CH01&gt;CH06&gt;CH02;按费后贡献排序则为CH02&gt;CH04&gt;CH03&gt;CH06&gt;CH01&gt;CH05——两个序列几乎完全相反。【实际表现】</w:t>
      </w:r>
    </w:p>
    <w:p>
      <w:pPr>
        <w:spacing w:after="160" w:line="307" w:lineRule="auto"/>
      </w:pPr>
      <w:r>
        <w:rPr>
          <w:b w:val="0"/>
        </w:rPr>
        <w:t>制度1.2的平台渠道分级结果:CH03毛利率34.46%、CH04毛利率34.87%、CH05毛利率33.37%,三个平台渠道全部落入B级(25%-35%),无一达到A级(≥35%)门槛。因此在现行制度框架下,没有任何平台渠道具备"A级优先保障资源"的资格,这是H2把增量资源投向自营渠道(制度1.1)的制度依据。【实际表现】</w:t>
      </w:r>
    </w:p>
    <w:p>
      <w:pPr>
        <w:pStyle w:val="Heading2"/>
      </w:pPr>
      <w:r>
        <w:t>3.2 费用结构:钱花在哪里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17"/>
              </w:rPr>
              <w:t>费用项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17"/>
              </w:rPr>
              <w:t>H1金额(元)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/>
                <w:sz w:val="17"/>
              </w:rPr>
              <w:t>占渠道总费用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17"/>
              </w:rPr>
              <w:t>占净收入</w:t>
            </w:r>
          </w:p>
        </w:tc>
        <w:tc>
          <w:tcPr>
            <w:tcW w:type="dxa" w:w="4195"/>
          </w:tcPr>
          <w:p>
            <w:pPr>
              <w:jc w:val="center"/>
            </w:pPr>
            <w:r/>
            <w:r>
              <w:rPr>
                <w:b/>
                <w:sz w:val="17"/>
              </w:rPr>
              <w:t>说明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广告费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3,349,954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44.2%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15.51%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7"/>
              </w:rPr>
              <w:t>可控性最高,是H2调整的主要抓手;CH01费率18.69%最高、CH02 9.28%最低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平台佣金+技术服务费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1,626,009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21.4%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7.53%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7"/>
              </w:rPr>
              <w:t>平台规则决定,按品类差异化(《平台佣金规则》);CH04抽佣率8.06%最高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履约费+包装费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1,899,601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25.1%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8.80%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7"/>
              </w:rPr>
              <w:t>含即时配送与包装;CH01履约成本率9.96%最高、CH05 8.12%最低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退货售后费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447,469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5.9%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2.07%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7"/>
              </w:rPr>
              <w:t>与退款率相关;CH05退款率5.75%最高、CH04 5.23%最低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支付手续费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126,296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1.7%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0.58%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7"/>
              </w:rPr>
              <w:t>占比最小,无调整空间</w:t>
            </w:r>
          </w:p>
        </w:tc>
      </w:tr>
      <w:t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7"/>
              </w:rPr>
              <w:t>其他费用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132,539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7"/>
              </w:rPr>
              <w:t>1.7%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7"/>
              </w:rPr>
              <w:t>0.61%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sz w:val="17"/>
              </w:rPr>
              <w:t>科目内容未细分,材料未载明构成</w:t>
            </w:r>
          </w:p>
        </w:tc>
      </w:tr>
    </w:tbl>
    <w:p>
      <w:pPr>
        <w:spacing w:after="40"/>
      </w:pPr>
    </w:p>
    <w:p>
      <w:pPr>
        <w:spacing w:after="160" w:line="307" w:lineRule="auto"/>
      </w:pPr>
      <w:r>
        <w:rPr>
          <w:b w:val="0"/>
        </w:rPr>
        <w:t>广告费3,349,954元占渠道总费用44.2%、占净收入15.51%,是唯一可以在H2内直接调整且规模足够影响损益的科目。在毛利率窄幅一致的前提下,把广告费从低效渠道移到高效渠道,是本次资源再配置最直接的杠杆。【专家判断】</w:t>
      </w:r>
    </w:p>
    <w:p>
      <w:pPr>
        <w:pStyle w:val="Heading2"/>
      </w:pPr>
      <w:r>
        <w:t>3.3 逐渠道诊断与方向</w:t>
      </w:r>
    </w:p>
    <w:p>
      <w:pPr>
        <w:pStyle w:val="Heading3"/>
      </w:pPr>
      <w:r>
        <w:t>CH01 自营APP —— 方向:收缩(投放效率型收缩,渠道战略地位按制度1.1维持)</w:t>
      </w:r>
    </w:p>
    <w:p>
      <w:pPr>
        <w:pStyle w:val="ListBullet"/>
        <w:spacing w:after="40" w:line="300" w:lineRule="auto"/>
        <w:ind w:left="454"/>
      </w:pPr>
      <w:r>
        <w:t>规模与效率:净收入2,063,658元(占比9.6%),毛利率32.36%(制度1.2口径B级),渠道总费用834,062元、费用率40.42%,费后贡献-166,348元、贡献率-8.06%,六渠道中绝对亏损第二大。</w:t>
      </w:r>
    </w:p>
    <w:p>
      <w:pPr>
        <w:pStyle w:val="ListBullet"/>
        <w:spacing w:after="40" w:line="300" w:lineRule="auto"/>
        <w:ind w:left="454"/>
      </w:pPr>
      <w:r>
        <w:t>效率诊断:广告费率18.69%为六渠道最高,是同为战略渠道的CH02(9.28%)的两倍;毛利/广告费1.73倍,为六渠道最低(CH02为3.52倍)。履约成本率9.96%亦为六渠道最高。月度看,除1月贡献+11,141元外,2-6月连续为负,3月单月-88,359元。</w:t>
      </w:r>
    </w:p>
    <w:p>
      <w:pPr>
        <w:pStyle w:val="ListBullet"/>
        <w:spacing w:after="40" w:line="300" w:lineRule="auto"/>
        <w:ind w:left="454"/>
      </w:pPr>
      <w:r>
        <w:t>促销与价格:5个活动ROI合计1.43倍(仅高于CH04的1.85);活动明细破价率53.7%为六渠道最高,折扣类活动ROI仅0.70为全类型全渠道最低(A018净贡献-16,363元)。</w:t>
      </w:r>
    </w:p>
    <w:p>
      <w:pPr>
        <w:pStyle w:val="ListBullet"/>
        <w:spacing w:after="40" w:line="300" w:lineRule="auto"/>
        <w:ind w:left="454"/>
      </w:pPr>
      <w:r>
        <w:t>会员:注册231人中仅20人首购发生在CH01(9.7%,六渠道最低),自营流量获取后大量流向CH03/CH05;首购会员流失标记率20.7%。</w:t>
      </w:r>
    </w:p>
    <w:p>
      <w:pPr>
        <w:pStyle w:val="ListBullet"/>
        <w:spacing w:after="160" w:line="300" w:lineRule="auto"/>
        <w:ind w:left="454"/>
      </w:pPr>
      <w:r>
        <w:t>方向依据:制度1.1要求对自营APP优先保障资源,故不下调其战略定位;但"优先保障"不等于容忍两倍于同类渠道的获客成本。建议投入由472,675元降至307,239元(-35%),收缩全部落在低效投放与破价治理,APP的产品与会员承载能力不减。</w:t>
      </w:r>
    </w:p>
    <w:p>
      <w:pPr>
        <w:pStyle w:val="Heading3"/>
      </w:pPr>
      <w:r>
        <w:t>CH02 微信小程序 —— 方向:增投</w:t>
      </w:r>
    </w:p>
    <w:p>
      <w:pPr>
        <w:pStyle w:val="ListBullet"/>
        <w:spacing w:after="40" w:line="300" w:lineRule="auto"/>
        <w:ind w:left="454"/>
      </w:pPr>
      <w:r>
        <w:t>规模与效率:净收入1,783,824元(占比8.3%,规模最小),但费后贡献66,953元、贡献率3.75%,是六渠道中唯一为正的渠道。费用率28.90%为六渠道最低(次低CH06为33.65%),广告费率9.28%最低,毛利/广告费3.52倍最高。</w:t>
      </w:r>
    </w:p>
    <w:p>
      <w:pPr>
        <w:pStyle w:val="ListBullet"/>
        <w:spacing w:after="40" w:line="300" w:lineRule="auto"/>
        <w:ind w:left="454"/>
      </w:pPr>
      <w:r>
        <w:t>稳定性:6个月中5个月费后贡献为正(仅2月为+673元的微利),无单月大幅亏损,是六渠道中月度波动最小的渠道。</w:t>
      </w:r>
    </w:p>
    <w:p>
      <w:pPr>
        <w:pStyle w:val="ListBullet"/>
        <w:spacing w:after="40" w:line="300" w:lineRule="auto"/>
        <w:ind w:left="454"/>
      </w:pPr>
      <w:r>
        <w:t>促销:仅5个活动、占促销费用7.0%,但活动ROI 6.00倍为六渠道最高(会员日6.97、折扣5.33)。低投入、高回报,说明该渠道处于明显的投入不足状态。</w:t>
      </w:r>
    </w:p>
    <w:p>
      <w:pPr>
        <w:pStyle w:val="ListBullet"/>
        <w:spacing w:after="40" w:line="300" w:lineRule="auto"/>
        <w:ind w:left="454"/>
      </w:pPr>
      <w:r>
        <w:t>会员:451人覆盖,会员独占率27.6%;注册-首购一致率9.0%,同样偏低,但作为自营私域其触达成本不依赖外部竞价。</w:t>
      </w:r>
    </w:p>
    <w:p>
      <w:pPr>
        <w:pStyle w:val="ListBullet"/>
        <w:spacing w:after="160" w:line="300" w:lineRule="auto"/>
        <w:ind w:left="454"/>
      </w:pPr>
      <w:r>
        <w:t>方向依据:唯一盈利渠道+最低费用率+最高促销ROI+制度1.1战略定位,四项同时指向增投。建议投入由223,446元提至402,203元(+80%),增量中约45%用于会员日与私域会员运营(与第四章会员结论衔接)。约束条件:小程序的客服、仓配与会员运营承接能力上限材料未载明,若承接能力不足,增投须分两个季度到位。</w:t>
      </w:r>
    </w:p>
    <w:p>
      <w:pPr>
        <w:pStyle w:val="Heading3"/>
      </w:pPr>
      <w:r>
        <w:t>CH03 天猫旗舰店 —— 方向:维持(费用封顶)</w:t>
      </w:r>
    </w:p>
    <w:p>
      <w:pPr>
        <w:pStyle w:val="ListBullet"/>
        <w:spacing w:after="40" w:line="300" w:lineRule="auto"/>
        <w:ind w:left="454"/>
      </w:pPr>
      <w:r>
        <w:t>规模与效率:净收入6,387,254元(占比29.6%,第二),毛利2,200,882元占全渠道毛利30.4%,是毛利绝对额最大的两个渠道之一;费用率35.08%,费后贡献-39,612元、贡献率-0.62%,基本处于盈亏平衡线附近。</w:t>
      </w:r>
    </w:p>
    <w:p>
      <w:pPr>
        <w:pStyle w:val="ListBullet"/>
        <w:spacing w:after="40" w:line="300" w:lineRule="auto"/>
        <w:ind w:left="454"/>
      </w:pPr>
      <w:r>
        <w:t>月度看,1月贡献+213,890元,2-4月连续为负(2月-106,546元),5月转正+26,313元,6月-19,105元,波动主要由广告费与售后费驱动。</w:t>
      </w:r>
    </w:p>
    <w:p>
      <w:pPr>
        <w:pStyle w:val="ListBullet"/>
        <w:spacing w:after="40" w:line="300" w:lineRule="auto"/>
        <w:ind w:left="454"/>
      </w:pPr>
      <w:r>
        <w:t>促销结构极端分化:12个活动ROI合计3.15倍,但节日促销8.83倍、折扣4.38倍,而会员日仅0.38倍、直播0.67倍(3场直播全部亏损,合计净贡献-20,578元)。</w:t>
      </w:r>
    </w:p>
    <w:p>
      <w:pPr>
        <w:pStyle w:val="ListBullet"/>
        <w:spacing w:after="40" w:line="300" w:lineRule="auto"/>
        <w:ind w:left="454"/>
      </w:pPr>
      <w:r>
        <w:t>会员:1,292人覆盖为六渠道最高,与CH05共同会员694人(占有购买会员30.6%),是最主要的蚕食对。</w:t>
      </w:r>
    </w:p>
    <w:p>
      <w:pPr>
        <w:pStyle w:val="ListBullet"/>
        <w:spacing w:after="160" w:line="300" w:lineRule="auto"/>
        <w:ind w:left="454"/>
      </w:pPr>
      <w:r>
        <w:t>方向依据:规模与毛利底盘不可动,但边际效率不支持继续加投。建议投入1,186,878元→1,127,534元(-5%,基本持平并设费用封顶),内部结构由直播与会员日转向节日促销,腾挪在封顶额度内完成。</w:t>
      </w:r>
    </w:p>
    <w:p>
      <w:pPr>
        <w:pStyle w:val="Heading3"/>
      </w:pPr>
      <w:r>
        <w:t>CH04 京东自营 —— 方向:维持并条件性增投</w:t>
      </w:r>
    </w:p>
    <w:p>
      <w:pPr>
        <w:pStyle w:val="ListBullet"/>
        <w:spacing w:after="40" w:line="300" w:lineRule="auto"/>
        <w:ind w:left="454"/>
      </w:pPr>
      <w:r>
        <w:t>规模与效率:净收入2,684,639元(占比12.4%),毛利率34.49%为六渠道最高但仍未达制度1.2的A级门槛(35%),归为B级。费后贡献-12,374元、贡献率-0.46%,为六渠道中亏损最小;退款率5.23%最低。</w:t>
      </w:r>
    </w:p>
    <w:p>
      <w:pPr>
        <w:pStyle w:val="ListBullet"/>
        <w:spacing w:after="40" w:line="300" w:lineRule="auto"/>
        <w:ind w:left="454"/>
      </w:pPr>
      <w:r>
        <w:t>月度看,6个月中4个月费后贡献为正,仅2月(-51,605元)与6月(-5,869元)为负,稳定性优于CH03与CH05。</w:t>
      </w:r>
    </w:p>
    <w:p>
      <w:pPr>
        <w:pStyle w:val="ListBullet"/>
        <w:spacing w:after="40" w:line="300" w:lineRule="auto"/>
        <w:ind w:left="454"/>
      </w:pPr>
      <w:r>
        <w:t>促销:H1仅2个活动(全公司最少)、占促销费用4.7%,ROI 1.85倍偏低,但完全由A025(节日促销,ROI 0.27,净贡献-22,716元)拖累;另一场A030折扣ROI 8.12倍为全类型全渠道最高。</w:t>
      </w:r>
    </w:p>
    <w:p>
      <w:pPr>
        <w:pStyle w:val="ListBullet"/>
        <w:spacing w:after="40" w:line="300" w:lineRule="auto"/>
        <w:ind w:left="454"/>
      </w:pPr>
      <w:r>
        <w:t>费用侧提示:平台抽佣率8.06%为六渠道最高,且《平台佣金规则》载明部分品类为月结/T+15,资金占用成本未在费用表中体现(待补C-03)。</w:t>
      </w:r>
    </w:p>
    <w:p>
      <w:pPr>
        <w:pStyle w:val="ListBullet"/>
        <w:spacing w:after="160" w:line="300" w:lineRule="auto"/>
        <w:ind w:left="454"/>
      </w:pPr>
      <w:r>
        <w:t>方向依据:毛利率最优、退款最低、稳定性较好,但资源投入最少,具备增投空间;增投须以"先替换A025类低效活动"为前置条件,故定为条件性增投。建议投入444,747元→480,327元(+8%,上限511,459元),上限部分从机动池按条件释放。</w:t>
      </w:r>
    </w:p>
    <w:p>
      <w:pPr>
        <w:pStyle w:val="Heading3"/>
      </w:pPr>
      <w:r>
        <w:t>CH05 抖音小店 —— 方向:收缩</w:t>
      </w:r>
    </w:p>
    <w:p>
      <w:pPr>
        <w:pStyle w:val="ListBullet"/>
        <w:spacing w:after="40" w:line="300" w:lineRule="auto"/>
        <w:ind w:left="454"/>
      </w:pPr>
      <w:r>
        <w:t>规模与效率:净收入6,688,143元(占比31.0%,第一),但渠道总费用2,384,105元为六渠道最高,费用率35.65%,费后贡献-151,973元、贡献率-2.27%,绝对亏损额六渠道最大。毛利率33.37%为三个平台渠道中最低,退款率5.75%最高。</w:t>
      </w:r>
    </w:p>
    <w:p>
      <w:pPr>
        <w:pStyle w:val="ListBullet"/>
        <w:spacing w:after="40" w:line="300" w:lineRule="auto"/>
        <w:ind w:left="454"/>
      </w:pPr>
      <w:r>
        <w:t>月度看,波动最剧烈:2月-113,971元、4月-161,687元,6月+89,196元,单月振幅超过25万元,说明其贡献高度依赖投放节奏而非结构性盈利能力。</w:t>
      </w:r>
    </w:p>
    <w:p>
      <w:pPr>
        <w:pStyle w:val="ListBullet"/>
        <w:spacing w:after="40" w:line="300" w:lineRule="auto"/>
        <w:ind w:left="454"/>
      </w:pPr>
      <w:r>
        <w:t>促销与价格:占用23个活动(全公司46%)与50.0%的促销费用,ROI 3.21倍仅居中;12个ROI&lt;1活动中4个在本渠道(A005 -23,001元、A008 -19,417元、A010 -9,875元、A017 -5,239元);活动明细负毛利-139,315元,占全公司负毛利的61.6%;满减6场全部集中于本渠道。</w:t>
      </w:r>
    </w:p>
    <w:p>
      <w:pPr>
        <w:pStyle w:val="ListBullet"/>
        <w:spacing w:after="40" w:line="300" w:lineRule="auto"/>
        <w:ind w:left="454"/>
      </w:pPr>
      <w:r>
        <w:t>会员:1,325人覆盖最高,与CH03重叠率53.7%,与"按规模计算的随机重叠预期"无实质差异,未见协同溢价。</w:t>
      </w:r>
    </w:p>
    <w:p>
      <w:pPr>
        <w:pStyle w:val="ListBullet"/>
        <w:spacing w:after="160" w:line="300" w:lineRule="auto"/>
        <w:ind w:left="454"/>
      </w:pPr>
      <w:r>
        <w:t>方向依据:亏损最大+费用最高+低效活动与破价最集中+与CH03重复投放,四项同时指向收缩。建议投入1,511,383元→1,057,968元(-30%)。关键约束:按平均毛利/广告2.04倍,等比削减广告存在减利风险,因此收缩必须结构化——先砍4个ROI&lt;1活动与破价SKU,再压缩通用竞价投放,单月设"贡献率未改善即暂停进一步收缩"的回检点。</w:t>
      </w:r>
    </w:p>
    <w:p>
      <w:pPr>
        <w:pStyle w:val="Heading3"/>
      </w:pPr>
      <w:r>
        <w:t>CH06 美团闪购 —— 方向:维持(限额,考核口径转为履约成本与时效)</w:t>
      </w:r>
    </w:p>
    <w:p>
      <w:pPr>
        <w:pStyle w:val="ListBullet"/>
        <w:spacing w:after="40" w:line="300" w:lineRule="auto"/>
        <w:ind w:left="454"/>
      </w:pPr>
      <w:r>
        <w:t>规模与效率:净收入1,989,005元(占比9.2%),毛利率31.68%为六渠道最低(B级);费后贡献-39,156元、贡献率-1.97%;履约成本率9.43%为六渠道最高。客单价2,755元为六渠道最低。</w:t>
      </w:r>
    </w:p>
    <w:p>
      <w:pPr>
        <w:pStyle w:val="ListBullet"/>
        <w:spacing w:after="40" w:line="300" w:lineRule="auto"/>
        <w:ind w:left="454"/>
      </w:pPr>
      <w:r>
        <w:t>月度看,2-5月费后贡献连续为正但金额很小(477元至2,118元),1月-18,716元与6月-15,862元,整体在盈亏平衡线上小幅波动。</w:t>
      </w:r>
    </w:p>
    <w:p>
      <w:pPr>
        <w:pStyle w:val="ListBullet"/>
        <w:spacing w:after="40" w:line="300" w:lineRule="auto"/>
        <w:ind w:left="454"/>
      </w:pPr>
      <w:r>
        <w:t>促销:3个活动ROI 2.55倍,无ROI&lt;1场次;会员日ROI 2.45、折扣2.75。</w:t>
      </w:r>
    </w:p>
    <w:p>
      <w:pPr>
        <w:pStyle w:val="ListBullet"/>
        <w:spacing w:after="40" w:line="300" w:lineRule="auto"/>
        <w:ind w:left="454"/>
      </w:pPr>
      <w:r>
        <w:t>制度定位与重大口径问题:制度1.3将即时零售定位为履约补充,考核重点为履约成本与时效。但《渠道销售明细》中发货方式为"即时配送"的净收入合计5,567,129元,其中5,062,530元记在CH01-CH05名下,本渠道仅504,600元,与制度3.2"即时配送订单归属即时零售渠道"存在重大口径分歧(待补C-02)。此外材料未提供任何履约时效字段,制度1.3要求的时效考核无法完成(待补C-06)。</w:t>
      </w:r>
    </w:p>
    <w:p>
      <w:pPr>
        <w:pStyle w:val="ListBullet"/>
        <w:spacing w:after="160" w:line="300" w:lineRule="auto"/>
        <w:ind w:left="454"/>
      </w:pPr>
      <w:r>
        <w:t>方向依据:按制度1.3维持规模、限额投放(建议投入340,176元→323,167元,-5%),并将考核口径由销售额改为履约成本率与时效;归属口径确认后须重估。在口径确认前,不建议对本渠道做增投或大幅收缩的不可逆决策。</w:t>
      </w:r>
    </w:p>
    <w:p>
      <w:r>
        <w:br w:type="page"/>
      </w:r>
    </w:p>
    <w:p>
      <w:pPr>
        <w:pStyle w:val="Heading1"/>
      </w:pPr>
      <w:r>
        <w:t>四、会员跨渠道行为:协同价值与蚕食风险</w:t>
      </w:r>
    </w:p>
    <w:p>
      <w:pPr>
        <w:pStyle w:val="Heading2"/>
      </w:pPr>
      <w:r>
        <w:t>4.1 样本与可用性(先说清能得出什么结论)</w:t>
      </w:r>
    </w:p>
    <w:p>
      <w:pPr>
        <w:pStyle w:val="ListBullet"/>
        <w:spacing w:after="40" w:line="300" w:lineRule="auto"/>
        <w:ind w:left="454"/>
      </w:pPr>
      <w:r>
        <w:t>《2026H1会员与跨渠道订单》覆盖2,500名会员(编号[客户号_001]至[客户号_2500]),其中2,269人有购买记录,合计6,000笔订单、9,185,660元。</w:t>
      </w:r>
    </w:p>
    <w:p>
      <w:pPr>
        <w:pStyle w:val="ListBullet"/>
        <w:spacing w:after="40" w:line="300" w:lineRule="auto"/>
        <w:ind w:left="454"/>
      </w:pPr>
      <w:r>
        <w:t>该会员样本与《渠道销售明细》不可在订单级互相验证:销售明细的会员ID区间为[客户号_2501]至[客户号_8280],与会员表交集为0,订单号亦无交集。因此会员侧金额不得与渠道净收入21,596,523元加总或比对(待补C-07)。会员分析只能用于结构与行为判断,不能用于收入归因。</w:t>
      </w:r>
    </w:p>
    <w:p>
      <w:pPr>
        <w:pStyle w:val="ListBullet"/>
        <w:spacing w:after="40" w:line="300" w:lineRule="auto"/>
        <w:ind w:left="454"/>
      </w:pPr>
      <w:r>
        <w:t>《会员基础》"状态"(活跃860/沉睡845/流失795)与《跨渠道行为》"流失标记"(是482/否1,787)相互独立:交叉表中三种状态下"流失标记=是"的比例分别为21.4%、21.4%、20.8%,几乎相同;两字段与"最近购买日期距2026-06-30的天数"分布亦无差异(标记流失者均值55.8天,未标记者56.3天)。结论:这两个字段不能用于流失或留存判定,本报告的渠道结论不使用留存率(待补C-04)。</w:t>
      </w:r>
    </w:p>
    <w:p>
      <w:pPr>
        <w:pStyle w:val="ListBullet"/>
        <w:spacing w:after="40" w:line="300" w:lineRule="auto"/>
        <w:ind w:left="454"/>
      </w:pPr>
      <w:r>
        <w:t>231名会员(9.2%)在两张行为表中均无记录,在三种状态中分布均匀(沉睡80/活跃82/流失69),属注册未购买或数据缺失(待补C-08)。</w:t>
      </w:r>
    </w:p>
    <w:p>
      <w:pPr>
        <w:pStyle w:val="Heading2"/>
      </w:pPr>
      <w:r>
        <w:t>4.2 跨渠道是协同还是蚕食:两项检验</w:t>
      </w:r>
    </w:p>
    <w:p>
      <w:pPr>
        <w:spacing w:after="40" w:line="307" w:lineRule="auto"/>
      </w:pPr>
      <w:r>
        <w:rPr>
          <w:b/>
        </w:rPr>
        <w:t>检验一:渠道广度与会员价值的关系,在控制订单数后消失。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17"/>
              </w:rPr>
              <w:t>购买渠道个数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7"/>
              </w:rPr>
              <w:t>会员数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17"/>
              </w:rPr>
              <w:t>人均订单数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7"/>
              </w:rPr>
              <w:t>人均累计消费(元)</w:t>
            </w:r>
          </w:p>
        </w:tc>
        <w:tc>
          <w:tcPr>
            <w:tcW w:type="dxa" w:w="1587"/>
          </w:tcPr>
          <w:p>
            <w:pPr>
              <w:jc w:val="center"/>
            </w:pPr>
            <w:r/>
            <w:r>
              <w:rPr>
                <w:b/>
                <w:sz w:val="17"/>
              </w:rPr>
              <w:t>人均客单价(元)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b/>
                <w:sz w:val="17"/>
              </w:rPr>
              <w:t>流失标记率(参考,字段不可靠)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730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1.33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2,027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7"/>
              </w:rPr>
              <w:t>1,508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23.7%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846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2.53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3,835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7"/>
              </w:rPr>
              <w:t>1,515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19.9%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499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3.81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5,977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7"/>
              </w:rPr>
              <w:t>1,566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19.6%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170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4.95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7,383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7"/>
              </w:rPr>
              <w:t>1,490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23.5%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5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23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5.91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9,434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7"/>
              </w:rPr>
              <w:t>1,600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8.7%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7"/>
              </w:rPr>
              <w:t>7.00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6,748</w:t>
            </w:r>
          </w:p>
        </w:tc>
        <w:tc>
          <w:tcPr>
            <w:tcW w:type="dxa" w:w="1587"/>
          </w:tcPr>
          <w:p>
            <w:pPr>
              <w:spacing w:after="20"/>
            </w:pPr>
            <w:r/>
            <w:r>
              <w:rPr>
                <w:sz w:val="17"/>
              </w:rPr>
              <w:t>964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7"/>
              </w:rPr>
              <w:t>100.0%</w:t>
            </w:r>
          </w:p>
        </w:tc>
      </w:tr>
    </w:tbl>
    <w:p>
      <w:pPr>
        <w:spacing w:after="40"/>
      </w:pPr>
    </w:p>
    <w:p>
      <w:pPr>
        <w:spacing w:after="160" w:line="307" w:lineRule="auto"/>
      </w:pPr>
      <w:r>
        <w:rPr>
          <w:b w:val="0"/>
        </w:rPr>
        <w:t>"跨渠道购买次数"字段经核对等于"购买过的渠道个数",与人均订单数高度同构(1个渠道1.33单→5个渠道5.91单)。因此累计消费从2,027元升至9,434元,主要由订单数解释,不能据此认定多渠道提升了会员价值。进一步在同一订单数分层内比较客单价:订单数=4时,单渠道会员客单价1,932元、四渠道会员1,517元;订单数=5时,单渠道1,898元、四渠道1,447元;各层内客单价均未随渠道广度上升。流失标记率也不随广度单调改善(1渠道23.7%、2渠道19.9%、3渠道19.6%、4渠道23.5%),但该字段不可靠,仅作参考。【实际表现+专家判断】结论:多渠道并行未产生可验证的客单价协同溢价。</w:t>
      </w:r>
    </w:p>
    <w:p>
      <w:pPr>
        <w:spacing w:after="40" w:line="307" w:lineRule="auto"/>
      </w:pPr>
      <w:r>
        <w:rPr>
          <w:b/>
        </w:rPr>
        <w:t>检验二:渠道间会员重叠与"随机重叠"无差异,不存在特定渠道对的协同放大。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17"/>
              </w:rPr>
              <w:t>行渠道会员中\也在列渠道购买的比例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CH03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CH04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CH05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CH06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CH01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19.1%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59.3%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24.9%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54.1%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20.8%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21.7%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53.0%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25.3%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53.9%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18.6%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CH03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23.6%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18.5%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24.9%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53.7%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19.7%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20.9%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18.6%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52.5%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52.5%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21.0%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CH05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21.0%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18.3%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52.4%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24.3%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100.0%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22.0%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20.4%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16.0%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48.4%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24.6%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55.4%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100.0%</w:t>
            </w:r>
          </w:p>
        </w:tc>
      </w:tr>
    </w:tbl>
    <w:p>
      <w:pPr>
        <w:spacing w:after="40"/>
      </w:pP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17"/>
              </w:rPr>
              <w:t>实际重叠率-按列渠道规模的随机预期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CH01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CH02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CH03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CH04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CH05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7"/>
              </w:rPr>
              <w:t>CH06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CH01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-0.8%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2.4%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-2.1%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-4.3%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-2.3%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-0.9%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-3.9%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-1.7%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-4.5%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-4.5%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CH03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1.0%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-1.4%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-2.1%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-4.7%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-3.5%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-1.8%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-1.3%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-4.4%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-5.9%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-2.1%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CH05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-1.7%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-1.5%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-4.6%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-2.7%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-1.2%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CH06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-2.3%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-3.9%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-8.6%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-2.4%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-3.0%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120" w:line="307" w:lineRule="auto"/>
      </w:pPr>
      <w:r>
        <w:rPr>
          <w:b w:val="0"/>
        </w:rPr>
        <w:t>第二张表为"实际重叠率-随机重叠预期"的偏差。30个非对角单元中偏差全部落在-4.0至+4.5个百分点区间,无任何渠道对呈现显著正向协同。即会员在渠道间的分布与按渠道规模随机分配几乎无差异。【实际表现】</w:t>
      </w:r>
    </w:p>
    <w:p>
      <w:pPr>
        <w:spacing w:after="160" w:line="307" w:lineRule="auto"/>
      </w:pPr>
      <w:r>
        <w:rPr>
          <w:b w:val="0"/>
        </w:rPr>
        <w:t>蚕食的具体形态:CH03与CH05共同会员694人,占2,269名有购买会员的30.6%;两渠道H1广告费合计2,118,565元,占全渠道广告费63.2%。同一批会员被两个高投放渠道重复计价,而重叠本身不带来客单价提升。此外,注册渠道与首购渠道一致的仅502人(22.1%):CH01注册231人中仅20人首购在CH01(9.7%),CH05注册813人中225人首购在CH05(27.7%)。以注册量考核拉新会系统性错配投放责任。【实际表现+专家判断】</w:t>
      </w:r>
    </w:p>
    <w:p>
      <w:pPr>
        <w:pStyle w:val="Heading2"/>
      </w:pPr>
      <w:r>
        <w:t>4.3 会员运营建议(与渠道策略同向)</w:t>
      </w:r>
    </w:p>
    <w:p>
      <w:pPr>
        <w:pStyle w:val="ListBullet"/>
        <w:spacing w:after="40" w:line="300" w:lineRule="auto"/>
        <w:ind w:left="454"/>
      </w:pPr>
      <w:r>
        <w:t>主阵地集中:将会员触达与权益投入向CH02(微信小程序)集中。理由链条闭合——CH02是唯一费后正贡献渠道(+66,953元)、费用率最低(28.90%)、会员日ROI 6.97最高,且作为自营私域其触达成本不依赖平台竞价。CH02建议投入增量(+178,757元,中值口径)中约45%用于会员日与私域运营。</w:t>
      </w:r>
    </w:p>
    <w:p>
      <w:pPr>
        <w:pStyle w:val="ListBullet"/>
        <w:spacing w:after="40" w:line="300" w:lineRule="auto"/>
        <w:ind w:left="454"/>
      </w:pPr>
      <w:r>
        <w:t>排重与频次上限:对CH03与CH05建立统一人群排重规则与单会员月度触达频次上限,目标是消除694名共同会员的重复计价。该动作不需要额外预算,属规则类动作,可在H2首月落地。</w:t>
      </w:r>
    </w:p>
    <w:p>
      <w:pPr>
        <w:pStyle w:val="ListBullet"/>
        <w:spacing w:after="40" w:line="300" w:lineRule="auto"/>
        <w:ind w:left="454"/>
      </w:pPr>
      <w:r>
        <w:t>会员日渠道重配:CH03会员日ROI仅0.38(A040净贡献-12,357元)应暂停,场次与预算转入CH02(6.97)与CH05高效场次(5.09);会员日与节日促销错峰,避免同一会员在两个活动中被重复补贴。</w:t>
      </w:r>
    </w:p>
    <w:p>
      <w:pPr>
        <w:pStyle w:val="ListBullet"/>
        <w:spacing w:after="40" w:line="300" w:lineRule="auto"/>
        <w:ind w:left="454"/>
      </w:pPr>
      <w:r>
        <w:t>等级体系重建(H2启动、H3见效):四个等级(普通/银卡/金卡/钻石)的人均累计消费集中在4,012-4,116元、流失标记率17.8%-21.3%、RFM分布均匀,现行等级与会员价值无区分度,权益投入难以形成差异化回报。建议以"订单数+客单价"重建分层,不以现行等级发放差异化权益。</w:t>
      </w:r>
    </w:p>
    <w:p>
      <w:pPr>
        <w:pStyle w:val="ListBullet"/>
        <w:spacing w:after="40" w:line="300" w:lineRule="auto"/>
        <w:ind w:left="454"/>
      </w:pPr>
      <w:r>
        <w:t>可考核目标的选择:在"状态/流失标记"字段修复前(待补C-04),会员运营的H2考核目标设为"人均订单数提升"与"CH02会员订单占比提升",不设留存率目标——用不可靠字段设考核目标会导致错误的资源投向。【专家判断】</w:t>
      </w:r>
    </w:p>
    <w:p>
      <w:pPr>
        <w:pStyle w:val="ListBullet"/>
        <w:spacing w:after="40" w:line="300" w:lineRule="auto"/>
        <w:ind w:left="454"/>
      </w:pPr>
      <w:r>
        <w:t>231名无购买会员与2,500人样本的边界:本章全部结论基于2,500人样本,不可外推为全体会员的规模化结论;若集团需要全量会员口径的资源测算,须先补齐全量会员数据(待补C-07/C-08)。</w:t>
      </w:r>
    </w:p>
    <w:p>
      <w:r>
        <w:br w:type="page"/>
      </w:r>
    </w:p>
    <w:p>
      <w:pPr>
        <w:pStyle w:val="Heading1"/>
      </w:pPr>
      <w:r>
        <w:t>五、门店经营诊断、A/B/C/D分级与调整建议</w:t>
      </w:r>
    </w:p>
    <w:p>
      <w:pPr>
        <w:pStyle w:val="Heading2"/>
      </w:pPr>
      <w:r>
        <w:t>5.1 全量口径与分级标准的沿用</w:t>
      </w:r>
    </w:p>
    <w:p>
      <w:pPr>
        <w:pStyle w:val="ListBullet"/>
        <w:spacing w:after="40" w:line="300" w:lineRule="auto"/>
        <w:ind w:left="454"/>
      </w:pPr>
      <w:r>
        <w:t>覆盖范围:42家门店全部纳入,无一家因区域、店型或经营结果被剔除。区域分布华东18家、华南12家、华北12家;店型社区店14家、标准店12家、前置仓10家、旗舰店6家;台账状态全部为"营业"。</w:t>
      </w:r>
    </w:p>
    <w:p>
      <w:pPr>
        <w:pStyle w:val="ListBullet"/>
        <w:spacing w:after="40" w:line="300" w:lineRule="auto"/>
        <w:ind w:left="454"/>
      </w:pPr>
      <w:r>
        <w:t>分级标准直接沿用《渠道与门店管理策略》第2章(A级:到店坪效≥5000元/㎡/月、租售比≤15%、同店增长≥5%;B级:坪效2000-5000元、租售比15%-25%;C级:坪效1000-2000元、租售比25%-35%;D级:坪效&lt;1000元或租售比&gt;35%),未另建评分或权重体系。</w:t>
      </w:r>
    </w:p>
    <w:p>
      <w:pPr>
        <w:pStyle w:val="ListBullet"/>
        <w:spacing w:after="40" w:line="300" w:lineRule="auto"/>
        <w:ind w:left="454"/>
      </w:pPr>
      <w:r>
        <w:t>制度未覆盖的落位情形已明示:制度给出的是两项指标的区间组合,未规定两项指标落在不同档位时如何定级。42家门店中34家出现"坪效处于B/C档而租售比优于该档下限"的情形(例如S011坪效3,034元、租售比5.43%)。本报告的处理:①D级为"或"条件,任一触发即判D;②其余以坪效定主档,租售比作为该档上限约束(A≤15%、B≤25%、C≤35%),超上限降一档;③租售比优于档位下限不构成降档理由。该落位口径需集团确认(待补T-01),确认前分级按此口径成立。</w:t>
      </w:r>
    </w:p>
    <w:p>
      <w:pPr>
        <w:pStyle w:val="ListBullet"/>
        <w:spacing w:after="40" w:line="300" w:lineRule="auto"/>
        <w:ind w:left="454"/>
      </w:pPr>
      <w:r>
        <w:t>A级的条件性:制度2.1的A级还要求同店增长≥5%,材料未提供2025年同期基准,42家门店均无法计算同店增长。S005、S031的A级为条件性判定;以H1内Q2/Q1作【代理估算】分别为+3.1%与-1.4%,均未达5%,若集团认可代理口径两店应暂列B级(待补T-02)。S031另因"面积已调整,不计入同店口径"(制度6.3),制度未规定该类门店如何认定A级(待补T-03)。</w:t>
      </w:r>
    </w:p>
    <w:p>
      <w:pPr>
        <w:pStyle w:val="Heading2"/>
      </w:pPr>
      <w:r>
        <w:t>5.2 分级结果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7"/>
              </w:rPr>
              <w:t>分级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7"/>
              </w:rPr>
              <w:t>门店数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17"/>
              </w:rPr>
              <w:t>H1到店销售额(元)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17"/>
              </w:rPr>
              <w:t>O2O履约贡献(元)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17"/>
              </w:rPr>
              <w:t>H1经营利润(元)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17"/>
              </w:rPr>
              <w:t>组内月均坪效(元/㎡/月)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7"/>
              </w:rPr>
              <w:t>组内平均租售比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17"/>
              </w:rPr>
              <w:t>门店清单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A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14,650,089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494,504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3,788,023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8,878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1.55%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S005、S031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B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7"/>
              </w:rPr>
              <w:t>17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79,449,949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4,358,956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15,333,645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2,995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4.98%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S009、S011、S013、S015、S016、S020、S023、S024、S026、S029、S030、S032、S033、S035、S038、S039、S041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C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7"/>
              </w:rPr>
              <w:t>17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49,214,374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4,419,018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4,979,981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1,568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9.22%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S001、S003、S004、S007、S008、S010、S014、S017、S019、S022、S025、S027、S028、S034、S037、S040、S042</w:t>
            </w:r>
          </w:p>
        </w:tc>
      </w:tr>
      <w:t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D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sz w:val="17"/>
              </w:rPr>
              <w:t>7,746,152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1,489,783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-1,960,796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7"/>
              </w:rPr>
              <w:t>670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7"/>
              </w:rPr>
              <w:t>21.41%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S002、S006、S012、S018、S021、S036</w:t>
            </w:r>
          </w:p>
        </w:tc>
      </w:tr>
    </w:tbl>
    <w:p>
      <w:pPr>
        <w:spacing w:after="40"/>
      </w:pPr>
    </w:p>
    <w:p>
      <w:pPr>
        <w:spacing w:after="120" w:line="307" w:lineRule="auto"/>
      </w:pPr>
      <w:r>
        <w:rPr>
          <w:b w:val="0"/>
        </w:rPr>
        <w:t>42家门店H1合计:到店销售额151,060,565元、毛利额52,489,579元(毛利率34.7%)、门店侧费用30,348,725元、经营利润22,140,854元;9家门店亏损、合计-2,107,208元,其中6家D级贡献了93.1%的亏损。月度看,6个月经营利润在3,324,252元至4,110,012元之间,无单月整体亏损。【实际表现】</w:t>
      </w:r>
    </w:p>
    <w:p>
      <w:pPr>
        <w:spacing w:after="120" w:line="307" w:lineRule="auto"/>
      </w:pPr>
      <w:r>
        <w:rPr>
          <w:b w:val="0"/>
        </w:rPr>
        <w:t>须向管理层提示的口径差异:台账口径下门店整体为盈利(22,140,854元),与任务背景描述的"门店整体微亏"不一致。本报告的门店经营利润不含总部费用分摊与税费,而材料未载明分摊规则,故不作推算(待补T-08)。若分摊后门店整体转亏,D级与C级亏损门店的整改紧迫度上升,但分级标准本身不依赖分摊口径,分级结果不变。</w:t>
      </w:r>
    </w:p>
    <w:p>
      <w:pPr>
        <w:spacing w:after="160" w:line="307" w:lineRule="auto"/>
      </w:pPr>
      <w:r>
        <w:rPr>
          <w:b w:val="0"/>
        </w:rPr>
        <w:t>分级稳定性:42家门店的月度分级在6个月内高度稳定——6家D级门店全部为连续6个月D级;A级2家连续6个月A级;仅S013(1月A、2-6月B)、S019、S020、S025、S027、S028、S033、S034、S040等9家出现过档位波动,且均为B/C之间的单档波动。这说明分级结果不是由某个月的异常值驱动的。【实际表现】</w:t>
      </w:r>
    </w:p>
    <w:p>
      <w:pPr>
        <w:pStyle w:val="Heading2"/>
      </w:pPr>
      <w:r>
        <w:t>5.3 O2O履约贡献如何体现:对区域负责人的正面回应</w:t>
      </w:r>
    </w:p>
    <w:p>
      <w:pPr>
        <w:spacing w:after="80" w:line="307" w:lineRule="auto"/>
      </w:pPr>
      <w:r>
        <w:rPr>
          <w:b w:val="0"/>
        </w:rPr>
        <w:t>这是分级是否被区域负责人接受的核心问题,分四点交代。</w:t>
      </w:r>
    </w:p>
    <w:p>
      <w:pPr>
        <w:pStyle w:val="ListBullet"/>
        <w:spacing w:after="40" w:line="300" w:lineRule="auto"/>
        <w:ind w:left="454"/>
      </w:pPr>
      <w:r>
        <w:t>第一,数字本身可核。42家门店台账"门店O2O履约贡献"合计10,762,260.51元,与《渠道销售明细》中发货方式为"门店发货""到店自提"的净收入合计逐店一致、差异为0。该规模相当于线上六渠道净收入的49.8%,即线上收入中约一半由门店完成履约。</w:t>
      </w:r>
    </w:p>
    <w:p>
      <w:pPr>
        <w:pStyle w:val="ListBullet"/>
        <w:spacing w:after="40" w:line="300" w:lineRule="auto"/>
        <w:ind w:left="454"/>
      </w:pPr>
      <w:r>
        <w:t>第二,为什么分级主口径不把O2O并入坪效。制度3.1规定"门店发货、到店自提订单计入线上渠道,同时按发货/自提归属计入门店履约贡献",制度2.1-2.4的分级指标明文为"到店坪效"。若把O2O收入并入坪效分子,等于把同一笔收入在渠道与门店两侧同时计为经营规模,与制度3.1冲突。同时制度3.4规定门店仅承担履约侧人工与包装成本(H1"履约包装"合计743,799元,占门店费用2.5%),即门店在O2O上的成本负担已被制度限定在很小的范围。</w:t>
      </w:r>
    </w:p>
    <w:p>
      <w:pPr>
        <w:pStyle w:val="ListBullet"/>
        <w:spacing w:after="40" w:line="300" w:lineRule="auto"/>
        <w:ind w:left="454"/>
      </w:pPr>
      <w:r>
        <w:t>第三,影响已完整披露、未被隐藏。《门店分级与调整建议.xlsx》为每家门店并列"坪效含O2O""租售比含O2O"与"含O2O口径分级"。含O2O口径下7家门店升一档:S001、S019、S025、S028、S040由C→B,S006、S012由D→C;其余35家不变。凡因O2O口径可能改变结论的门店,其动作建议中均已引用该事实(例如S012的转型建议、S001的转型候选定位)。</w:t>
      </w:r>
    </w:p>
    <w:p>
      <w:pPr>
        <w:pStyle w:val="ListBullet"/>
        <w:spacing w:after="40" w:line="300" w:lineRule="auto"/>
        <w:ind w:left="454"/>
      </w:pPr>
      <w:r>
        <w:t>第四,一个需要如实说明的反向事实。店型标注为"前置仓"的10家门店O2O占比均值仅8.5%,低于"标准店"的10.7%与"社区店"的9.2%;10家中6家为C级、1家为D级。因此"前置仓因定位被到店坪效系统性低估"这一常见申辩在本期数据中不成立——店型标签与实际履约结构并不匹配(建议一并核查店型定义)。真正被到店坪效低估的是O2O占比最高的S021(26.5%)、S012(19.9%)、S036(19.3%)、S018(19.0%)、S040(16.8%)、S001(14.7%),这些门店的履约价值已在含O2O口径中逐店披露。【实际表现】</w:t>
      </w:r>
    </w:p>
    <w:p>
      <w:pPr>
        <w:pStyle w:val="ListBullet"/>
        <w:spacing w:after="40" w:line="300" w:lineRule="auto"/>
        <w:ind w:left="454"/>
      </w:pPr>
      <w:r>
        <w:t>第五,单量口径不可用于分级。台账"线上订单履约单量"与"自提单量+门店发货单量"完全相等(合计1,894,398单),内部自洽;但《渠道销售明细》中发货+自提订单仅3,748单,金额却完全对齐,两者单量相差约505倍。因此O2O贡献一律以金额口径评价,单量仅作结构参考,不用于任何分级或动作判断(待补T-05)。</w:t>
      </w:r>
    </w:p>
    <w:p>
      <w:pPr>
        <w:pStyle w:val="Heading2"/>
      </w:pPr>
      <w:r>
        <w:t>5.4 逐店动作建议:分布与租约相容性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17"/>
              </w:rPr>
              <w:t>优先级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7"/>
              </w:rPr>
              <w:t>动作建议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7"/>
              </w:rPr>
              <w:t>门店数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17"/>
              </w:rPr>
              <w:t>H1经营利润合计(元)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17"/>
              </w:rPr>
              <w:t>门店清单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关停(优先)—或缩面积转纯前置仓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-578,855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S036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关停评估(到期退出)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4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-1,325,861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S002、S012、S018、S021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调改(整改期6个月)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-56,080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S006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保留并调改(提效)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2,482,243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S011、S016、S023、S026、S029、S033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调改(亏损整改)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3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-146,412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S004、S008、S040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P2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调改+转型候选(前置仓/自提点,需授权)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1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204,900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S001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P3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保留(扩量)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11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12,851,402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S009、S013、S015、S020、S024、S030、S032、S035、S038、S039、S041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P3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保留(标杆/优先资源)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2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3,788,023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S005、S031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P3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保留观察(限投)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7"/>
              </w:rPr>
              <w:t>13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7"/>
              </w:rPr>
              <w:t>4,921,493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7"/>
              </w:rPr>
              <w:t>S003、S007、S010、S014、S017、S019、S022、S025、S027、S028、S034、S037、S042</w:t>
            </w:r>
          </w:p>
        </w:tc>
      </w:tr>
    </w:tbl>
    <w:p>
      <w:pPr>
        <w:spacing w:after="40"/>
      </w:pPr>
    </w:p>
    <w:p>
      <w:pPr>
        <w:spacing w:after="80" w:line="307" w:lineRule="auto"/>
      </w:pPr>
      <w:r>
        <w:rPr>
          <w:b w:val="0"/>
        </w:rPr>
        <w:t>每家门店的完整动作、依据、条件与待确认事项见《门店分级与调整建议.xlsx》表1(含依据回指与租约条款逐店对应),此处说明动作与租约的相容性规则:</w:t>
      </w:r>
    </w:p>
    <w:p>
      <w:pPr>
        <w:pStyle w:val="ListBullet"/>
        <w:spacing w:after="40" w:line="300" w:lineRule="auto"/>
        <w:ind w:left="454"/>
      </w:pPr>
      <w:r>
        <w:t>关停类动作只在制度6.1/6.2条件成立时提出:全量核对后仅S036(同时触发6.1与6.2)与S021(连续6个月D级+租约2026-09-16在H2内到期)进入关停路径;S002、S012、S018虽满足连续6个月D级且租约载明到期日已过,但续租状态未确认,其关停评估为条件性;S006租约至2028-02-09且租售比仅11.84%,两项条件均不满足,只能整改,不得提关停。</w:t>
      </w:r>
    </w:p>
    <w:p>
      <w:pPr>
        <w:pStyle w:val="ListBullet"/>
        <w:spacing w:after="40" w:line="300" w:lineRule="auto"/>
        <w:ind w:left="454"/>
      </w:pPr>
      <w:r>
        <w:t>每项关停/转型建议均附成本条款:42份租约的提前退出条款统一为"提前90天书面通知+违约金",违约金金额逐店不同(15,764元至187,520元)。S036为157,292元、S021为38,249元、S002为123,581元、S012为79,046元、S018为87,116元。续租优先权42家全部为"有"。</w:t>
      </w:r>
    </w:p>
    <w:p>
      <w:pPr>
        <w:pStyle w:val="ListBullet"/>
        <w:spacing w:after="40" w:line="300" w:lineRule="auto"/>
        <w:ind w:left="454"/>
      </w:pPr>
      <w:r>
        <w:t>13家门店的租约载明到期日早于2026-06-30而台账状态为"营业"(S002、S011、S012、S013、S015、S016、S018、S025、S028、S029、S031、S036、S037),续租是否发生及续租后条款均未载明。这13家中包含A级1家(S031)、B级4家、C级4家、D级4家,涉及面较广,是H2决策前必须闭环的事实(待补T-09)。</w:t>
      </w:r>
    </w:p>
    <w:p>
      <w:pPr>
        <w:pStyle w:val="ListBullet"/>
        <w:spacing w:after="40" w:line="300" w:lineRule="auto"/>
        <w:ind w:left="454"/>
      </w:pPr>
      <w:r>
        <w:t>租金口径冲突已做敏感性:租约载明月租金与台账租金在单店层面差异显著(比值0.54-1.99倍),合计层面接近(9,709,413元 vs 9,925,001元,差2.2%)。以租约租金重算租售比后,42家门店分级结果0家变动,故该冲突不改变分级结论,但单店租售比对外核对前需财务与资产部门对齐(待补T-04)。</w:t>
      </w:r>
    </w:p>
    <w:p>
      <w:pPr>
        <w:pStyle w:val="Heading2"/>
      </w:pPr>
      <w:r>
        <w:t>5.5 D级6家门店逐店条件性结论</w:t>
      </w:r>
    </w:p>
    <w:p>
      <w:pPr>
        <w:spacing w:after="40" w:line="307" w:lineRule="auto"/>
      </w:pPr>
      <w:r>
        <w:rPr>
          <w:b/>
        </w:rPr>
        <w:t>S036 门店36(华北·石家庄·前置仓·485㎡)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【关停(优先),或缩面积转纯前置仓】前置仓店型,485㎡,月均到店坪效272元/㎡(全公司最低),租售比38.25%且连续6个月&gt;35%,连续6个月D级,H1亏损578,855元(全公司最大),人力费用率50.3%。同时触发制度6.1与6.2,是唯一具备双重制度授权的门店。租约载明2020-06-03至2023-06-03,已过期近3年而台账状态为"营业"——若确认未续租,可按到期退出、无违约金;若已续租(材料未载明续租条款),提前退出须提前90天通知并支付违约金157,292元。替代方案:该店O2O占比19.3%(半年履约贡献152,624元),可缩面积保留纯前置仓功能,制度6.2对此已有授权。</w:t>
      </w:r>
    </w:p>
    <w:p>
      <w:pPr>
        <w:spacing w:after="40" w:line="307" w:lineRule="auto"/>
      </w:pPr>
      <w:r>
        <w:rPr>
          <w:b/>
        </w:rPr>
        <w:t>S021 门店21(华南·厦门·标准店·299㎡)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【关停评估(到期退出)】标准店,299㎡,月均坪效433元/㎡,租售比30.36%,连续6个月D级,H1亏损535,672元,人力费用率51.5%(全公司最高)。租约2023-09-17至2026-09-16,在H2内自然到期,是最干净的退出窗口;提前退出条款为提前90天通知+违约金38,249元(六家D级中最低)。需注意两点:①该店O2O占比26.5%为全公司最高(半年履约贡献279,634元),关店将直接减少该商圈的线上履约能力,建议同步评估在同商圈以更低租金重设自提点/前置仓;②"到期不续租"是否同样需要90天通知、是否免除违约金,租约文本仅载明提前退出条款,未载明到期不续租的通知义务(待补)。若需履行通知义务,以2026-09-16到期计,通知窗口已在2026-06-18前后,材料无法确认是否已发出。</w:t>
      </w:r>
    </w:p>
    <w:p>
      <w:pPr>
        <w:spacing w:after="40" w:line="307" w:lineRule="auto"/>
      </w:pPr>
      <w:r>
        <w:rPr>
          <w:b/>
        </w:rPr>
        <w:t>S018 门店18(华东·苏州·标准店·214㎡)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【调改(优先,人力重构)】标准店,214㎡,月均坪效672元/㎡,租售比仅18.70%,连续6个月D级,H1亏损439,732元;人力费用率45.5%。关键事实:该店租售比健康(18.70%,远低于35%阈值),D级完全由坪效不足触发,亏损主因是人力(H1人力392,347元,占到店销售额45.5%,而全公司中位为10.9%)。因此这不是租金或点位问题,而是人效问题,关停不是首选。制度6.2条件不满足(租售比未连续3个月&gt;35%),不具备转型授权。租约载明2021-03-19至2025-03-18已过期,状态待确认(违约金87,116元)。建议给予6个月整改期,若人力重构后仍为D级,再按制度6.1启动闭店评估。</w:t>
      </w:r>
    </w:p>
    <w:p>
      <w:pPr>
        <w:spacing w:after="40" w:line="307" w:lineRule="auto"/>
      </w:pPr>
      <w:r>
        <w:rPr>
          <w:b/>
        </w:rPr>
        <w:t>S012 门店12(华东·杭州·社区店·215㎡)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【转型候选(前置仓/自提点)+人力重构,需授权】社区店,215㎡,月均坪效852元/㎡,租售比17.36%,连续6个月D级,H1亏损300,555元,人力费用率30.3%。该店O2O占比19.9%(半年履约贡献272,472元),在含O2O口径下升为C级,是"履约价值高于到店价值"的典型。制度6.2仅对"租售比连续3个月&gt;35%"授权转前置仓/自提点,该店租售比17.36%不满足,因此转型需集团单独授权(待补T-06);在授权取得前只能执行人力重构与整改。租约2020-03-11至2026-03-10已过期,状态待确认(违约金79,046元)。</w:t>
      </w:r>
    </w:p>
    <w:p>
      <w:pPr>
        <w:spacing w:after="40" w:line="307" w:lineRule="auto"/>
      </w:pPr>
      <w:r>
        <w:rPr>
          <w:b/>
        </w:rPr>
        <w:t>S002 门店02(华东·上海·标准店·370㎡)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【调改(整改期6个月)】标准店,370㎡,月均坪效882元/㎡,租售比11.95%(六家D级中最低),连续6个月D级,但H1亏损仅49,902元(利润率-2.55%),已接近盈亏平衡。D级由坪效不足单项触发,租金与费用结构均健康。不建议关停:①亏损规模小,关停将直接损失O2O履约贡献255,359元;②租约2021-04-06至2026-04-05已过期、状态待确认,若已续租,提前退出违约金123,581元约为其H1亏损的2.5倍,关停在财务上不划算。建议以品类与客流效率为抓手整改。</w:t>
      </w:r>
    </w:p>
    <w:p>
      <w:pPr>
        <w:spacing w:after="40" w:line="307" w:lineRule="auto"/>
      </w:pPr>
      <w:r>
        <w:rPr>
          <w:b/>
        </w:rPr>
        <w:t>S006 门店06(华东·南京·社区店·415㎡)</w:t>
      </w:r>
    </w:p>
    <w:p>
      <w:pPr>
        <w:spacing w:after="160" w:line="307" w:lineRule="auto"/>
        <w:ind w:left="283"/>
      </w:pPr>
      <w:r>
        <w:rPr>
          <w:b w:val="0"/>
          <w:sz w:val="19"/>
        </w:rPr>
        <w:t>【调改(整改期6个月),制度未授权关停或转型】社区店,415㎡,月均坪效907元/㎡,租售比11.84%,连续6个月D级,H1亏损56,080元(利润率-2.48%)。租约2023-02-10至2028-02-09仍然有效,提前退出需90天通知+违约金106,284元(约为H1亏损的1.9倍)。制度6.1(租约到期)与6.2(租售比连续3个月&gt;35%)两项条件均不满足,因此本报告不对该店提出关停或转型建议——这是制度约束下的必然结论,而非经营指标判断的结果。该店备注"面积已调整,不计入同店口径"(制度6.3),含O2O口径下升为C级(O2O占比11.4%)。</w:t>
      </w:r>
    </w:p>
    <w:p>
      <w:pPr>
        <w:spacing w:after="160" w:line="307" w:lineRule="auto"/>
      </w:pPr>
      <w:r>
        <w:rPr>
          <w:b w:val="0"/>
        </w:rPr>
        <w:t>剔除S036与S021两家关停候选后,其余4家D级门店H1亏损合计846,270元;若4家在H2完成整改并回到盈亏平衡,加上S036与S021退出可避免的亏损1,114,526元(按H1同等水平),门店侧年化改善潜力约为3.9M元量级。【代理估算】该数字为按H1表现线性外推的量级参考,不是H2利润目标,亦未扣除退出一次性成本与转型投入。</w:t>
      </w:r>
    </w:p>
    <w:p>
      <w:r>
        <w:br w:type="page"/>
      </w:r>
    </w:p>
    <w:p>
      <w:pPr>
        <w:pStyle w:val="Heading1"/>
      </w:pPr>
      <w:r>
        <w:t>六、促销组合效果评估与2026H2节奏优化</w:t>
      </w:r>
    </w:p>
    <w:p>
      <w:pPr>
        <w:pStyle w:val="Heading2"/>
      </w:pPr>
      <w:r>
        <w:t>6.1 ROI口径与增量口径必须先说清</w:t>
      </w:r>
    </w:p>
    <w:p>
      <w:pPr>
        <w:pStyle w:val="ListBullet"/>
        <w:spacing w:after="40" w:line="300" w:lineRule="auto"/>
        <w:ind w:left="454"/>
      </w:pPr>
      <w:r>
        <w:t>《活动效果》表"ROI"列经50个活动逐条核算等于"增量毛利÷实际费用"(最大偏差0.0049),不是"增量销售额÷实际费用"。后者口径下全部活动ROI均值为9.89倍,与表内均值5.30相差近一倍。本报告全部ROI沿用表内口径,凡对外引用必须同时说明口径。</w:t>
      </w:r>
    </w:p>
    <w:p>
      <w:pPr>
        <w:pStyle w:val="ListBullet"/>
        <w:spacing w:after="40" w:line="300" w:lineRule="auto"/>
        <w:ind w:left="454"/>
      </w:pPr>
      <w:r>
        <w:t>"增量销售额"=活动期间销售额-活动前销售额(逐条核对偏差为0),属前后对比法,未剔除季节性、节点流量与其他活动的叠加影响。因此单场高ROI(如A033的21.33倍、A039的19.99倍)不宜视为纯活动贡献,本报告的类型级结论以费用加权ROI与净贡献为主,不对单场高ROI做线性外推。</w:t>
      </w:r>
    </w:p>
    <w:p>
      <w:pPr>
        <w:pStyle w:val="ListBullet"/>
        <w:spacing w:after="40" w:line="300" w:lineRule="auto"/>
        <w:ind w:left="454"/>
      </w:pPr>
      <w:r>
        <w:t>促销费用池边界:活动实际费用合计829,351元,与渠道广告费3,349,954元、投放明细3,116,047元的从属关系材料未载明(待补P-01),本报告按并列科目处理。</w:t>
      </w:r>
    </w:p>
    <w:p>
      <w:pPr>
        <w:pStyle w:val="ListBullet"/>
        <w:spacing w:after="40" w:line="300" w:lineRule="auto"/>
        <w:ind w:left="454"/>
      </w:pPr>
      <w:r>
        <w:t>含投放口径仅作压力测试、不作判定依据:180条投放明细中有活动ID关联的覆盖48个活动,但其中43个活动的投放渠道与活动登记渠道不一致(如A001登记CH05,关联投放却分布在CH01-CH05五个渠道),说明活动ID是关联标记而非成本归属。若强行相加,总投入升至3,945,398元、整体ROI由3.09降至0.65、35个活动ROI&lt;1。该结果已在《促销组合优化建议.xlsx》中披露为敏感性,不用于任何保留/调整/新增判定(待补P-02)。</w:t>
      </w:r>
    </w:p>
    <w:p>
      <w:pPr>
        <w:pStyle w:val="Heading2"/>
      </w:pPr>
      <w:r>
        <w:t>6.2 五类活动的效率与价格损耗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  <w:gridCol w:w="812"/>
      </w:tblGrid>
      <w:tr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16"/>
              </w:rPr>
              <w:t>活动类型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16"/>
              </w:rPr>
              <w:t>场次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b/>
                <w:sz w:val="16"/>
              </w:rPr>
              <w:t>实际费用(元)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  <w:t>费用占比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/>
                <w:sz w:val="16"/>
              </w:rPr>
              <w:t>增量销售额(元)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16"/>
              </w:rPr>
              <w:t>增量毛利(元)</w:t>
            </w:r>
          </w:p>
        </w:tc>
        <w:tc>
          <w:tcPr>
            <w:tcW w:type="dxa" w:w="1304"/>
          </w:tcPr>
          <w:p>
            <w:pPr>
              <w:jc w:val="center"/>
            </w:pPr>
            <w:r/>
            <w:r>
              <w:rPr>
                <w:b/>
                <w:sz w:val="16"/>
              </w:rPr>
              <w:t>当前ROI(增量毛利/费用)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b/>
                <w:sz w:val="16"/>
              </w:rPr>
              <w:t>净贡献(元)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  <w:t>ROI&lt;1场次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/>
                <w:sz w:val="16"/>
              </w:rPr>
              <w:t>活动明细破价率</w:t>
            </w:r>
          </w:p>
        </w:tc>
        <w:tc>
          <w:tcPr>
            <w:tcW w:type="dxa" w:w="1191"/>
          </w:tcPr>
          <w:p>
            <w:pPr>
              <w:jc w:val="center"/>
            </w:pPr>
            <w:r/>
            <w:r>
              <w:rPr>
                <w:b/>
                <w:sz w:val="16"/>
              </w:rPr>
              <w:t>明细负毛利(元)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  <w:t>平均天数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节日促销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144,073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17.4%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1,456,237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6"/>
              </w:rPr>
              <w:t>539,643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3.75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395,569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31.4%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-34,357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8.7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会员日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187,551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22.6%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1,895,963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6"/>
              </w:rPr>
              <w:t>654,409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3.49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466,858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41.8%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-53,847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10.8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折扣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228,912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27.6%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2,283,257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6"/>
              </w:rPr>
              <w:t>775,569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3.39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546,657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45.7%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-62,456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7.5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满减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102,107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12.3%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886,955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6"/>
              </w:rPr>
              <w:t>313,961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3.07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211,854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0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43.6%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-28,185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6.5</w:t>
            </w:r>
          </w:p>
        </w:tc>
      </w:tr>
      <w:tr>
        <w:tc>
          <w:tcPr>
            <w:tcW w:type="dxa" w:w="1020"/>
          </w:tcPr>
          <w:p>
            <w:pPr>
              <w:spacing w:after="20"/>
            </w:pPr>
            <w:r/>
            <w:r>
              <w:rPr>
                <w:sz w:val="16"/>
              </w:rPr>
              <w:t>直播</w:t>
            </w:r>
          </w:p>
        </w:tc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166,708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20.1%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738,267</w:t>
            </w:r>
          </w:p>
        </w:tc>
        <w:tc>
          <w:tcPr>
            <w:tcW w:type="dxa" w:w="1247"/>
          </w:tcPr>
          <w:p>
            <w:pPr>
              <w:spacing w:after="20"/>
            </w:pPr>
            <w:r/>
            <w:r>
              <w:rPr>
                <w:sz w:val="16"/>
              </w:rPr>
              <w:t>279,852</w:t>
            </w:r>
          </w:p>
        </w:tc>
        <w:tc>
          <w:tcPr>
            <w:tcW w:type="dxa" w:w="1304"/>
          </w:tcPr>
          <w:p>
            <w:pPr>
              <w:spacing w:after="20"/>
            </w:pPr>
            <w:r/>
            <w:r>
              <w:rPr>
                <w:sz w:val="16"/>
              </w:rPr>
              <w:t>1.68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113,144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sz w:val="16"/>
              </w:rPr>
              <w:t>42.9%</w:t>
            </w:r>
          </w:p>
        </w:tc>
        <w:tc>
          <w:tcPr>
            <w:tcW w:type="dxa" w:w="1191"/>
          </w:tcPr>
          <w:p>
            <w:pPr>
              <w:spacing w:after="20"/>
            </w:pPr>
            <w:r/>
            <w:r>
              <w:rPr>
                <w:sz w:val="16"/>
              </w:rPr>
              <w:t>-47,305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9.2</w:t>
            </w:r>
          </w:p>
        </w:tc>
      </w:tr>
    </w:tbl>
    <w:p>
      <w:pPr>
        <w:spacing w:after="40"/>
      </w:pPr>
    </w:p>
    <w:p>
      <w:pPr>
        <w:spacing w:after="120" w:line="307" w:lineRule="auto"/>
      </w:pPr>
      <w:r>
        <w:rPr>
          <w:b w:val="0"/>
        </w:rPr>
        <w:t>整体:50个活动实际费用829,351元、增量销售额7,260,678元、增量毛利2,563,434元、净贡献1,734,083元,整体ROI 3.09倍,促销在总量上是创造价值的。但内部分化明显:节日促销3.75、会员日3.49、折扣3.39、满减3.07,直播仅1.68。直播以20.1%的费用占比只产出10.9%的增量毛利,是唯一的结构性低效类型。【实际表现】</w:t>
      </w:r>
    </w:p>
    <w:p>
      <w:pPr>
        <w:spacing w:after="120" w:line="307" w:lineRule="auto"/>
      </w:pPr>
      <w:r>
        <w:rPr>
          <w:b w:val="0"/>
        </w:rPr>
        <w:t>低效清单(可逐条追问):12个活动ROI&lt;1,实际费用266,657元、增量毛利134,982元、净贡献-131,675元。按类型分布:直播5个(A008 0.26、A021 0.28、A017 0.71、A044 0.71、A050 0.96)、折扣2个(A005 0.28、A018 0.38)、节日促销2个(A025 0.27、A010 0.52)、会员日3个(A040 0.38、A026 0.92、A028 0.95)。按渠道分布:CH05四个、CH03四个、CH01两个、CH04一个、CH06一个。全部50个活动的明细见《促销组合优化建议.xlsx》表2与表3。【实际表现】</w:t>
      </w:r>
    </w:p>
    <w:p>
      <w:pPr>
        <w:spacing w:after="160" w:line="307" w:lineRule="auto"/>
      </w:pPr>
      <w:r>
        <w:rPr>
          <w:b w:val="0"/>
        </w:rPr>
        <w:t>价格损耗:604条活动SKU行与《SKU主数据》"建议最低售价"比对,246行(40.7%)破价,这246行合计毛利为-38,948元,而未破价的358行合计毛利+2,298,269元;全部604行中112行毛利为负、合计-226,150元。破价集中在CH01(破价率53.7%)与CH05(负毛利-139,315元,占全公司61.6%),类型上集中在折扣(45.7%)与直播(42.9%),节日促销最低(31.1%)。结论:破价而非促销本身是毛利损耗主因,H2须把"活动价≥建议最低售价"设为默认约束、破价单独审批。【实际表现+专家判断】</w:t>
      </w:r>
    </w:p>
    <w:p>
      <w:pPr>
        <w:pStyle w:val="Heading2"/>
      </w:pPr>
      <w:r>
        <w:t>6.3 H2促销类型主张与节奏</w:t>
      </w:r>
    </w:p>
    <w:p>
      <w:pPr>
        <w:pStyle w:val="Heading3"/>
      </w:pPr>
      <w:r>
        <w:t>节日促销:当前ROI 3.75倍、费用占比17.4%</w:t>
      </w:r>
    </w:p>
    <w:p>
      <w:pPr>
        <w:pStyle w:val="ListBullet"/>
        <w:spacing w:after="40" w:line="300" w:lineRule="auto"/>
        <w:ind w:left="454"/>
      </w:pPr>
      <w:r>
        <w:t>建议动作:保留并适度增投(费用占比17.4%→22%-25%)</w:t>
      </w:r>
    </w:p>
    <w:p>
      <w:pPr>
        <w:pStyle w:val="ListBullet"/>
        <w:spacing w:after="40" w:line="300" w:lineRule="auto"/>
        <w:ind w:left="454"/>
      </w:pPr>
      <w:r>
        <w:t>适用渠道:主投CH03(节日促销ROI 8.83为全类型全渠道最高)与CH05(3.61);CH04仅在替换A025(ROI 0.27)后参与;CH01/CH02不单独开节日档,改为承接节日流量的会员日联动。</w:t>
      </w:r>
    </w:p>
    <w:p>
      <w:pPr>
        <w:pStyle w:val="ListBullet"/>
        <w:spacing w:after="40" w:line="300" w:lineRule="auto"/>
        <w:ind w:left="454"/>
      </w:pPr>
      <w:r>
        <w:t>节奏安排:H2四个主节点:9月开学季(9/1-9/10)、10月国庆(9/28-10/7)、11月双11(10/24-11/12,主战场)、12月年终(12/18-12/31)。单场8-10天(H1平均8.7天,结构合理);双11可放宽至20天但须设第10天ROI&lt;2即停投的检查点。</w:t>
      </w:r>
    </w:p>
    <w:p>
      <w:pPr>
        <w:pStyle w:val="ListBullet"/>
        <w:spacing w:after="160" w:line="300" w:lineRule="auto"/>
        <w:ind w:left="454"/>
      </w:pPr>
      <w:r>
        <w:t>依据:10场、费用144,073元,增量毛利539,642元,ROI 3.75五类最高,净贡献395,569元;破价率31.1%五类最低,说明增量来自节点流量而非价格让利。</w:t>
      </w:r>
    </w:p>
    <w:p>
      <w:pPr>
        <w:pStyle w:val="Heading3"/>
      </w:pPr>
      <w:r>
        <w:t>会员日:当前ROI 3.49倍、费用占比22.6%</w:t>
      </w:r>
    </w:p>
    <w:p>
      <w:pPr>
        <w:pStyle w:val="ListBullet"/>
        <w:spacing w:after="40" w:line="300" w:lineRule="auto"/>
        <w:ind w:left="454"/>
      </w:pPr>
      <w:r>
        <w:t>建议动作:保留但结构重配(总费用基本持平,渠道结构大幅调整)</w:t>
      </w:r>
    </w:p>
    <w:p>
      <w:pPr>
        <w:pStyle w:val="ListBullet"/>
        <w:spacing w:after="40" w:line="300" w:lineRule="auto"/>
        <w:ind w:left="454"/>
      </w:pPr>
      <w:r>
        <w:t>适用渠道:向CH02集中(会员日ROI 6.97最高而H1仅3场);CH05(5.09)、CH06(2.45)保留;CH03会员日暂停(0.38,A040净贡献-12,357元);CH01保留但须与破价治理同步。</w:t>
      </w:r>
    </w:p>
    <w:p>
      <w:pPr>
        <w:pStyle w:val="ListBullet"/>
        <w:spacing w:after="40" w:line="300" w:lineRule="auto"/>
        <w:ind w:left="454"/>
      </w:pPr>
      <w:r>
        <w:t>节奏安排:每月固定1场、每场3-5天,建议固定每月8-10日形成会员预期;7月与12月各加一场双倍积分日;与节日促销错峰,避免同一会员被重复补贴。</w:t>
      </w:r>
    </w:p>
    <w:p>
      <w:pPr>
        <w:pStyle w:val="ListBullet"/>
        <w:spacing w:after="160" w:line="300" w:lineRule="auto"/>
        <w:ind w:left="454"/>
      </w:pPr>
      <w:r>
        <w:t>依据:13场(场次最多)、费用187,551元(占22.6%),增量毛利654,409元,ROI 3.49;渠道内部极端分化(CH02 6.97 vs CH03 0.38)。向CH02集中与第三章"CH02增投"、第四章"会员主阵地集中"完全同向。</w:t>
      </w:r>
    </w:p>
    <w:p>
      <w:pPr>
        <w:pStyle w:val="Heading3"/>
      </w:pPr>
      <w:r>
        <w:t>折扣:当前ROI 3.39倍、费用占比27.6%</w:t>
      </w:r>
    </w:p>
    <w:p>
      <w:pPr>
        <w:pStyle w:val="ListBullet"/>
        <w:spacing w:after="40" w:line="300" w:lineRule="auto"/>
        <w:ind w:left="454"/>
      </w:pPr>
      <w:r>
        <w:t>建议动作:保留但收紧价格底线(费用占比27.6%→24%-26%)</w:t>
      </w:r>
    </w:p>
    <w:p>
      <w:pPr>
        <w:pStyle w:val="ListBullet"/>
        <w:spacing w:after="40" w:line="300" w:lineRule="auto"/>
        <w:ind w:left="454"/>
      </w:pPr>
      <w:r>
        <w:t>适用渠道:CH04(8.12,但H1仅1场)、CH02(5.33)、CH03(4.38)优先;CH05折扣逐场审批(2.79,A005净贡献-23,001元);CH01折扣暂停新增(0.70为全类型全渠道最低,A018净贡献-16,363元)。</w:t>
      </w:r>
    </w:p>
    <w:p>
      <w:pPr>
        <w:pStyle w:val="ListBullet"/>
        <w:spacing w:after="40" w:line="300" w:lineRule="auto"/>
        <w:ind w:left="454"/>
      </w:pPr>
      <w:r>
        <w:t>节奏安排:按月度常态化滚动,每月1-2场、每场5-8天(H1平均7.5天最短,结构合理);不与节日促销、会员日叠加档期。价格治理:活动价不得低于建议最低售价,破价单独审批。</w:t>
      </w:r>
    </w:p>
    <w:p>
      <w:pPr>
        <w:pStyle w:val="ListBullet"/>
        <w:spacing w:after="160" w:line="300" w:lineRule="auto"/>
        <w:ind w:left="454"/>
      </w:pPr>
      <w:r>
        <w:t>依据:13场、费用228,911元(占27.6%,五类最高),增量毛利775,569元,ROI 3.39,净贡献546,657元——规模最大、效率居中、价格损耗最重(破价率45.7%、明细负毛利-62,456元均为五类最高)。</w:t>
      </w:r>
    </w:p>
    <w:p>
      <w:pPr>
        <w:pStyle w:val="Heading3"/>
      </w:pPr>
      <w:r>
        <w:t>满减:当前ROI 3.07倍、费用占比12.3%</w:t>
      </w:r>
    </w:p>
    <w:p>
      <w:pPr>
        <w:pStyle w:val="ListBullet"/>
        <w:spacing w:after="40" w:line="300" w:lineRule="auto"/>
        <w:ind w:left="454"/>
      </w:pPr>
      <w:r>
        <w:t>建议动作:新增/扩量(费用占比12.3%→14%-16%),并扩展渠道覆盖</w:t>
      </w:r>
    </w:p>
    <w:p>
      <w:pPr>
        <w:pStyle w:val="ListBullet"/>
        <w:spacing w:after="40" w:line="300" w:lineRule="auto"/>
        <w:ind w:left="454"/>
      </w:pPr>
      <w:r>
        <w:t>适用渠道:H1全部6场集中在CH05,渠道覆盖最窄。H2扩展至CH02(自营,不受平台工具限制)、CH03、CH01;CH06因客单价最低(2,755元)且定位履约补充,不建议开满减。</w:t>
      </w:r>
    </w:p>
    <w:p>
      <w:pPr>
        <w:pStyle w:val="ListBullet"/>
        <w:spacing w:after="40" w:line="300" w:lineRule="auto"/>
        <w:ind w:left="454"/>
      </w:pPr>
      <w:r>
        <w:t>节奏安排:以月度常态门槛券形式运行,每月1场、每场6-7天(H1平均6.5天);门槛参考各渠道客单价(2,755-2,940元)设在1.2-1.5倍区间,目的是拉升客单而非补贴既有订单。</w:t>
      </w:r>
    </w:p>
    <w:p>
      <w:pPr>
        <w:pStyle w:val="ListBullet"/>
        <w:spacing w:after="160" w:line="300" w:lineRule="auto"/>
        <w:ind w:left="454"/>
      </w:pPr>
      <w:r>
        <w:t>依据:6场、费用102,107元(占12.3%,五类最低),增量毛利313,961元,ROI 3.07,净贡献211,854元;6场中无一场ROI&lt;1,是五类中唯一零低效场次的类型;机制为满额门槛而非直接降价,明细负毛利-28,185元为五类最低。当前100%集中于CH05是明显的覆盖缺口。</w:t>
      </w:r>
    </w:p>
    <w:p>
      <w:pPr>
        <w:pStyle w:val="Heading3"/>
      </w:pPr>
      <w:r>
        <w:t>直播:当前ROI 1.68倍、费用占比20.1%</w:t>
      </w:r>
    </w:p>
    <w:p>
      <w:pPr>
        <w:pStyle w:val="ListBullet"/>
        <w:spacing w:after="40" w:line="300" w:lineRule="auto"/>
        <w:ind w:left="454"/>
      </w:pPr>
      <w:r>
        <w:t>建议动作:大幅收缩(费用占比20.1%→8%-10%)</w:t>
      </w:r>
    </w:p>
    <w:p>
      <w:pPr>
        <w:pStyle w:val="ListBullet"/>
        <w:spacing w:after="40" w:line="300" w:lineRule="auto"/>
        <w:ind w:left="454"/>
      </w:pPr>
      <w:r>
        <w:t>适用渠道:CH03直播全部暂停(3场ROI均值0.67,A021、A044、A050三场全部净贡献为负,合计-20,578元);CH05仅保留ROI≥2的场次(A043 11.05、A022 2.64、A031等),其余暂停;不向CH01/CH02/CH04/CH06新增直播。</w:t>
      </w:r>
    </w:p>
    <w:p>
      <w:pPr>
        <w:pStyle w:val="ListBullet"/>
        <w:spacing w:after="40" w:line="300" w:lineRule="auto"/>
        <w:ind w:left="454"/>
      </w:pPr>
      <w:r>
        <w:t>节奏安排:场次由8场压缩至3-4场,仅挂靠双11与年终两个主节点,单场不超过6天(H1平均9.25天为五类最长,长周期未带来效率);每场设"首日ROI&lt;1.5即终止"的硬止损。</w:t>
      </w:r>
    </w:p>
    <w:p>
      <w:pPr>
        <w:pStyle w:val="ListBullet"/>
        <w:spacing w:after="160" w:line="300" w:lineRule="auto"/>
        <w:ind w:left="454"/>
      </w:pPr>
      <w:r>
        <w:t>依据:8场、费用166,708元(占20.1%),增量毛利279,852元,ROI 1.68五类最低(仅为节日促销的45%),净贡献113,144元;8场中5场ROI&lt;1、合计净贡献-45,235元,是全公司低效促销最集中的类型。跨H1截止的A008(ROI 0.26)效果未完整实现,不计入最终结论。</w:t>
      </w:r>
    </w:p>
    <w:p>
      <w:pPr>
        <w:spacing w:after="160" w:line="307" w:lineRule="auto"/>
      </w:pPr>
      <w:r>
        <w:rPr>
          <w:b w:val="0"/>
        </w:rPr>
        <w:t>促销与渠道是同一个费用池,因此上述五类主张与第三章渠道方向逐条对应:CH01折扣暂停新增 ↔ CH01投入-35%;CH02会员日扩量 ↔ CH02投入+80%;CH03直播全停、会员日暂停、节日促销加权 ↔ CH03费用封顶下的内部腾挪;CH04条件性增投的前置条件即替换A025;CH05直播压缩与低效活动出清 ↔ CH05投入-30%;CH06不开满减、维持限额 ↔ CH06维持并转履约考核。五类活动H2费用占比建议中值合计约94.5%,余下约5.5%作为促销侧应急预留。【计划目标/建议,未经批准】</w:t>
      </w:r>
    </w:p>
    <w:p>
      <w:r>
        <w:br w:type="page"/>
      </w:r>
    </w:p>
    <w:p>
      <w:pPr>
        <w:pStyle w:val="Heading1"/>
      </w:pPr>
      <w:r>
        <w:t>七、2026H2预算、人力与营销资源再配置方案及执行优先级</w:t>
      </w:r>
    </w:p>
    <w:p>
      <w:pPr>
        <w:spacing w:after="160" w:line="307" w:lineRule="auto"/>
      </w:pPr>
      <w:r>
        <w:rPr>
          <w:b w:val="0"/>
        </w:rPr>
        <w:t>前置声明:材料未载明集团核定的H2总预算、人力编制上限与管理层审批阈值(待补C-05)。因此本章不给出"已批准"的金额或人数,所有数字均为【计划目标/建议】,以"调整方向+配置比例/区间+条件"的形式呈现,并在7.5列明转化为最终金额与编制所需的管理参数。本章遵循"总量不增"原则:所有增投均由收缩项在同一费用池内对冲产生。</w:t>
      </w:r>
    </w:p>
    <w:p>
      <w:pPr>
        <w:pStyle w:val="Heading2"/>
      </w:pPr>
      <w:r>
        <w:t>7.1 营销费用池再配置(六渠道,总量不增)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3"/>
        <w:gridCol w:w="1083"/>
        <w:gridCol w:w="1083"/>
        <w:gridCol w:w="1083"/>
        <w:gridCol w:w="1083"/>
        <w:gridCol w:w="1083"/>
        <w:gridCol w:w="1083"/>
        <w:gridCol w:w="1083"/>
        <w:gridCol w:w="1083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  <w:t>渠道ID</w:t>
            </w:r>
          </w:p>
        </w:tc>
        <w:tc>
          <w:tcPr>
            <w:tcW w:type="dxa" w:w="1077"/>
          </w:tcPr>
          <w:p>
            <w:pPr>
              <w:jc w:val="center"/>
            </w:pPr>
            <w:r/>
            <w:r>
              <w:rPr>
                <w:b/>
                <w:sz w:val="16"/>
              </w:rPr>
              <w:t>渠道</w:t>
            </w:r>
          </w:p>
        </w:tc>
        <w:tc>
          <w:tcPr>
            <w:tcW w:type="dxa" w:w="1644"/>
          </w:tcPr>
          <w:p>
            <w:pPr>
              <w:jc w:val="center"/>
            </w:pPr>
            <w:r/>
            <w:r>
              <w:rPr>
                <w:b/>
                <w:sz w:val="16"/>
              </w:rPr>
              <w:t>H1当前投入(广告费+活动费,元)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/>
                <w:sz w:val="16"/>
              </w:rPr>
              <w:t>占池比</w:t>
            </w:r>
          </w:p>
        </w:tc>
        <w:tc>
          <w:tcPr>
            <w:tcW w:type="dxa" w:w="2041"/>
          </w:tcPr>
          <w:p>
            <w:pPr>
              <w:jc w:val="center"/>
            </w:pPr>
            <w:r/>
            <w:r>
              <w:rPr>
                <w:b/>
                <w:sz w:val="16"/>
              </w:rPr>
              <w:t>H2建议投入区间(元)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b/>
                <w:sz w:val="16"/>
              </w:rPr>
              <w:t>H2建议投入中值(元)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  <w:t>建议占池比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16"/>
              </w:rPr>
              <w:t>调整幅度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16"/>
              </w:rPr>
              <w:t>方向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CH01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自营APP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sz w:val="16"/>
              </w:rPr>
              <w:t>472,675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11.3%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6"/>
              </w:rPr>
              <w:t>283,605 ~ 330,872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6"/>
              </w:rPr>
              <w:t>307,239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7.4%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-35%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6"/>
              </w:rPr>
              <w:t>收缩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CH02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微信小程序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sz w:val="16"/>
              </w:rPr>
              <w:t>223,446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5.3%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6"/>
              </w:rPr>
              <w:t>379,858 ~ 424,547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6"/>
              </w:rPr>
              <w:t>402,203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9.6%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+80%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6"/>
              </w:rPr>
              <w:t>增投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CH03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天猫旗舰店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sz w:val="16"/>
              </w:rPr>
              <w:t>1,186,878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28.4%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6"/>
              </w:rPr>
              <w:t>1,068,191 ~ 1,186,878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6"/>
              </w:rPr>
              <w:t>1,127,534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27.0%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-5%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6"/>
              </w:rPr>
              <w:t>维持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CH04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京东自营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sz w:val="16"/>
              </w:rPr>
              <w:t>444,747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10.6%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6"/>
              </w:rPr>
              <w:t>444,747 ~ 511,459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6"/>
              </w:rPr>
              <w:t>480,327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11.5%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+8%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6"/>
              </w:rPr>
              <w:t>维持并条件性增投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CH05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抖音小店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sz w:val="16"/>
              </w:rPr>
              <w:t>1,511,383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36.2%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6"/>
              </w:rPr>
              <w:t>982,399 ~ 1,133,537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6"/>
              </w:rPr>
              <w:t>1,057,968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25.3%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-30%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6"/>
              </w:rPr>
              <w:t>收缩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CH06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美团闪购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sz w:val="16"/>
              </w:rPr>
              <w:t>340,176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8.1%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6"/>
              </w:rPr>
              <w:t>306,158 ~ 340,176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6"/>
              </w:rPr>
              <w:t>323,167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7.7%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-5%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6"/>
              </w:rPr>
              <w:t>维持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合计</w:t>
            </w:r>
          </w:p>
        </w:tc>
        <w:tc>
          <w:tcPr>
            <w:tcW w:type="dxa" w:w="1077"/>
          </w:tcPr>
          <w:p>
            <w:pPr>
              <w:spacing w:after="20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644"/>
          </w:tcPr>
          <w:p>
            <w:pPr>
              <w:spacing w:after="20"/>
            </w:pPr>
            <w:r/>
            <w:r>
              <w:rPr>
                <w:sz w:val="16"/>
              </w:rPr>
              <w:t>4,179,305</w:t>
            </w:r>
          </w:p>
        </w:tc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6"/>
              </w:rPr>
              <w:t>100.0%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6"/>
              </w:rPr>
              <w:t>—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6"/>
              </w:rPr>
              <w:t>3,698,438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88.5%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6"/>
              </w:rPr>
              <w:t>-12%</w:t>
            </w:r>
          </w:p>
        </w:tc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6"/>
              </w:rPr>
              <w:t>释放进入机动池</w:t>
            </w:r>
          </w:p>
        </w:tc>
      </w:tr>
    </w:tbl>
    <w:p>
      <w:pPr>
        <w:spacing w:after="40"/>
      </w:pPr>
    </w:p>
    <w:p>
      <w:pPr>
        <w:spacing w:after="120" w:line="307" w:lineRule="auto"/>
      </w:pPr>
      <w:r>
        <w:rPr>
          <w:b w:val="0"/>
        </w:rPr>
        <w:t>六渠道建议投入中值合计3,698,438元,较H1可比费用池4,179,305元释放480,867元(-11.5%)。释放部分进入H2机动池,拟定用途:①会员运营专项(小程序私域、会员日、沉睡唤醒)约占45%;②门店转型与整改一次性投入约占35%(不含违约金,违约金需另行安排资产预算);③条件性释放(CH04增投上限、CH03大促加投)约占20%。机动池的动用须经管理层核定。【计划目标/建议】</w:t>
      </w:r>
    </w:p>
    <w:p>
      <w:pPr>
        <w:spacing w:after="160" w:line="307" w:lineRule="auto"/>
      </w:pPr>
      <w:r>
        <w:rPr>
          <w:b w:val="0"/>
        </w:rPr>
        <w:t>资源来源与去向的对应关系(增收必有减支):CH01收缩释放165,436元、CH05收缩释放453,415元、CH03收缩释放59,344元、CH06收缩释放17,009元,合计释放695,204元;其中178,757元投向CH02(+80%)、35,580元投向CH04(+8%),余额480,867元进入机动池。没有任何一个渠道的增投是靠追加总预算实现的。【计划目标/建议】</w:t>
      </w:r>
    </w:p>
    <w:p>
      <w:pPr>
        <w:pStyle w:val="Heading2"/>
      </w:pPr>
      <w:r>
        <w:t>7.2 人力资源调整方向(以费用与占比表述,不设编制数)</w:t>
      </w:r>
    </w:p>
    <w:p>
      <w:pPr>
        <w:pStyle w:val="ListBullet"/>
        <w:spacing w:after="40" w:line="300" w:lineRule="auto"/>
        <w:ind w:left="454"/>
      </w:pPr>
      <w:r>
        <w:t>H1门店人力费用合计14,531,581元,占门店侧费用47.9%,是门店最大费用科目(租金9,709,413元占32.0%)。门店人力费用率中位数为10.9%,但分布极端:S021 51.5%、S036 50.3%、S018 45.5%、S012 30.3%、S040 21.2%,5家门店人力费用率超过20%。【实际表现】</w:t>
      </w:r>
    </w:p>
    <w:p>
      <w:pPr>
        <w:pStyle w:val="ListBullet"/>
        <w:spacing w:after="40" w:line="300" w:lineRule="auto"/>
        <w:ind w:left="454"/>
      </w:pPr>
      <w:r>
        <w:t>调整方向:①S036与S021退出后其人力费用797,924元(H1口径)随之释放,建议优先内部调配至B级扩量门店与承担高O2O履约的门店,而非直接减编;②S018、S012、S040三家执行人力结构重构,目标是把人力费用率压到15%以内,按H1销售规模测算可释放约512,834元;③上述两项合计约1,310,758元的人力费用调整空间,相当于门店人力费用的9.0%。【代理估算】</w:t>
      </w:r>
    </w:p>
    <w:p>
      <w:pPr>
        <w:pStyle w:val="ListBullet"/>
        <w:spacing w:after="40" w:line="300" w:lineRule="auto"/>
        <w:ind w:left="454"/>
      </w:pPr>
      <w:r>
        <w:t>必须说明的限制:材料未提供任何人员编制、人数、人均薪酬或岗位结构数据,门店费用表仅有"人力"金额一项。因此无法把上述费用调整换算为编制人数或岗位数,也不得将任何人数表述为已核定(待补C-05、T-12)。管理层如需以编制形式下达,须先补充各门店在岗人数与岗位结构。</w:t>
      </w:r>
    </w:p>
    <w:p>
      <w:pPr>
        <w:pStyle w:val="ListBullet"/>
        <w:spacing w:after="40" w:line="300" w:lineRule="auto"/>
        <w:ind w:left="454"/>
      </w:pPr>
      <w:r>
        <w:t>渠道与总部侧人力:材料未提供线上运营、投放、会员运营的人力数据,因此本报告不对渠道侧人力提出增减建议;仅提示CH02增投(+80%)与会员运营专项将产生新增的运营与客服承接需求,该需求的人力口径需在预算核定时一并测算。</w:t>
      </w:r>
    </w:p>
    <w:p>
      <w:pPr>
        <w:pStyle w:val="Heading2"/>
      </w:pPr>
      <w:r>
        <w:t>7.3 门店侧资源与一次性投入</w:t>
      </w:r>
    </w:p>
    <w:p>
      <w:pPr>
        <w:pStyle w:val="ListBullet"/>
        <w:spacing w:after="40" w:line="300" w:lineRule="auto"/>
        <w:ind w:left="454"/>
      </w:pPr>
      <w:r>
        <w:t>退出类(S036、S021):H1两店合计亏损1,114,526元、占用租金538,395元、人力797,924元。一次性成本:若按"提前退出"执行需违约金合计195,541元;若能按租约到期退出则可免违约金,但该前提取决于续租状态确认(待补T-09)。S021的O2O履约贡献(半年279,634元、占比26.5%全公司最高)需在同商圈以自提点/前置仓形式接续,该接续投入建议从机动池用途②中列支。</w:t>
      </w:r>
    </w:p>
    <w:p>
      <w:pPr>
        <w:pStyle w:val="ListBullet"/>
        <w:spacing w:after="40" w:line="300" w:lineRule="auto"/>
        <w:ind w:left="454"/>
      </w:pPr>
      <w:r>
        <w:t>整改类(S002、S006、S012、S018共4家D级+S004、S008、S040共3家C级亏损店+6家B级提效店):H1合计经营利润为-846,270元(D级4家)与-146,412元(C级3家亏损店)。整改期建议6个月(2026-07至2026-12),按月回检坪效与租售比,回检口径与本报告分级口径一致。</w:t>
      </w:r>
    </w:p>
    <w:p>
      <w:pPr>
        <w:pStyle w:val="ListBullet"/>
        <w:spacing w:after="40" w:line="300" w:lineRule="auto"/>
        <w:ind w:left="454"/>
      </w:pPr>
      <w:r>
        <w:t>转型候选(S001、S012、S040等O2O占比高而到店坪效低的门店):制度6.2仅对"租售比连续3个月&gt;35%"授权转前置仓/自提点,上述门店均不满足该条件,转型需集团单独授权(待补T-06)。在授权取得前,这些门店的动作为"整改+强化O2O履约",不得对外宣布转型。</w:t>
      </w:r>
    </w:p>
    <w:p>
      <w:pPr>
        <w:pStyle w:val="ListBullet"/>
        <w:spacing w:after="40" w:line="300" w:lineRule="auto"/>
        <w:ind w:left="454"/>
      </w:pPr>
      <w:r>
        <w:t>扩量类(A级2家+B级11家):H1合计经营利润19,121,668元,是门店侧利润的主体。建议把退出与整改释放的人力优先调配至此类门店,并在营销资源上优先支持其到店客流与连带率提升。</w:t>
      </w:r>
    </w:p>
    <w:p>
      <w:pPr>
        <w:pStyle w:val="Heading2"/>
      </w:pPr>
      <w:r>
        <w:t>7.4 执行优先级:可直接排期的动作序列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624"/>
          </w:tcPr>
          <w:p>
            <w:pPr>
              <w:jc w:val="center"/>
            </w:pPr>
            <w:r/>
            <w:r>
              <w:rPr>
                <w:b/>
                <w:sz w:val="16"/>
              </w:rPr>
              <w:t>优先级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6"/>
              </w:rPr>
              <w:t>时间窗</w:t>
            </w:r>
          </w:p>
        </w:tc>
        <w:tc>
          <w:tcPr>
            <w:tcW w:type="dxa" w:w="3742"/>
          </w:tcPr>
          <w:p>
            <w:pPr>
              <w:jc w:val="center"/>
            </w:pPr>
            <w:r/>
            <w:r>
              <w:rPr>
                <w:b/>
                <w:sz w:val="16"/>
              </w:rPr>
              <w:t>动作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16"/>
              </w:rPr>
              <w:t>责任口径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b/>
                <w:sz w:val="16"/>
              </w:rPr>
              <w:t>前置条件/约束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  <w:r>
              <w:rPr>
                <w:b/>
                <w:sz w:val="16"/>
              </w:rPr>
              <w:t>可验证的完成标志</w:t>
            </w:r>
          </w:p>
        </w:tc>
      </w:tr>
      <w:tr>
        <w:tc>
          <w:tcPr>
            <w:tcW w:type="dxa" w:w="624"/>
          </w:tcPr>
          <w:p>
            <w:pPr>
              <w:spacing w:after="20"/>
            </w:pPr>
            <w:r/>
            <w:r>
              <w:rPr>
                <w:sz w:val="16"/>
              </w:rPr>
              <w:t>P0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6"/>
              </w:rPr>
              <w:t>2026-07月内(复盘会后两周)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6"/>
              </w:rPr>
              <w:t>①确认《渠道月度费用》毛利口径分歧(待补C-09);②确认制度3.2即时配送渠道归属(待补C-02);③法务/资产确认13家门店续租状态(待补T-09);④集团确认门店分级落位规则(待补T-01)与A级同店基准(待补T-02)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6"/>
              </w:rPr>
              <w:t>财务、集团零售管理部、法务/资产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无。这四项是其余动作的事实前提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6"/>
              </w:rPr>
              <w:t>四项均有书面结论;若C-09或C-02结论与本报告口径不同,第三章与第七章须在7月内重出</w:t>
            </w:r>
          </w:p>
        </w:tc>
      </w:tr>
      <w:tr>
        <w:tc>
          <w:tcPr>
            <w:tcW w:type="dxa" w:w="624"/>
          </w:tcPr>
          <w:p>
            <w:pPr>
              <w:spacing w:after="20"/>
            </w:pPr>
            <w:r/>
            <w:r>
              <w:rPr>
                <w:sz w:val="16"/>
              </w:rPr>
              <w:t>P1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6"/>
              </w:rPr>
              <w:t>2026-07至08月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6"/>
              </w:rPr>
              <w:t>①出清12个ROI&lt;1活动,不再复用;②CH03直播全停、CH05直播压缩至3-4场;③设置"活动价≥建议最低售价"默认约束,破价单独审批;④CH03/CH05会员人群排重与频次上限上线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6"/>
              </w:rPr>
              <w:t>市场部、各渠道负责人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规则类与停办类动作,不需新增预算;可与P0并行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6"/>
              </w:rPr>
              <w:t>低效活动清单归零;直播场次≤4;破价审批流程上线;排重规则上线</w:t>
            </w:r>
          </w:p>
        </w:tc>
      </w:tr>
      <w:tr>
        <w:tc>
          <w:tcPr>
            <w:tcW w:type="dxa" w:w="624"/>
          </w:tcPr>
          <w:p>
            <w:pPr>
              <w:spacing w:after="20"/>
            </w:pPr>
            <w:r/>
            <w:r>
              <w:rPr>
                <w:sz w:val="16"/>
              </w:rPr>
              <w:t>P2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6"/>
              </w:rPr>
              <w:t>2026-08至09月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6"/>
              </w:rPr>
              <w:t>①按7.1表调整六渠道投放额度(CH01-35%、CH05-30%、CH02+80%、CH04+8%、CH03/CH06基本持平);②CH02会员运营专项启动;③会员日渠道重配(CH03停、CH02扩);④满减扩展至CH02/CH03/CH01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6"/>
              </w:rPr>
              <w:t>市场部、会员中心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依赖P0第①②项:若C-09/C-02结论改变,额度须重算;CH02增投受其客服/仓配承接能力约束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6"/>
              </w:rPr>
              <w:t>各渠道月度投放额度按新比例执行;CH02会员订单占比与人均订单数月度跟踪</w:t>
            </w:r>
          </w:p>
        </w:tc>
      </w:tr>
      <w:tr>
        <w:tc>
          <w:tcPr>
            <w:tcW w:type="dxa" w:w="624"/>
          </w:tcPr>
          <w:p>
            <w:pPr>
              <w:spacing w:after="20"/>
            </w:pPr>
            <w:r/>
            <w:r>
              <w:rPr>
                <w:sz w:val="16"/>
              </w:rPr>
              <w:t>P3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6"/>
              </w:rPr>
              <w:t>2026-08至09月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6"/>
              </w:rPr>
              <w:t>①S021按2026-09-16到期退出的决议与通知(若通知义务成立须即刻办理);②S036关停或缩面积转前置仓决议;③同商圈自提点/前置仓接续方案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6"/>
              </w:rPr>
              <w:t>资产、区域运营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依赖P0第③项续租状态确认;S021通知窗口可能已过,须法务先行确认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6"/>
              </w:rPr>
              <w:t>两店退出/转型决议书面化;接续点位方案完成</w:t>
            </w:r>
          </w:p>
        </w:tc>
      </w:tr>
      <w:tr>
        <w:tc>
          <w:tcPr>
            <w:tcW w:type="dxa" w:w="624"/>
          </w:tcPr>
          <w:p>
            <w:pPr>
              <w:spacing w:after="20"/>
            </w:pPr>
            <w:r/>
            <w:r>
              <w:rPr>
                <w:sz w:val="16"/>
              </w:rPr>
              <w:t>P4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6"/>
              </w:rPr>
              <w:t>2026-07至12月(整改期6个月)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6"/>
              </w:rPr>
              <w:t>①S018、S012、S040人力结构重构;②S002、S006整改;③S004、S008亏损整改;④6家B级门店提效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6"/>
              </w:rPr>
              <w:t>区域运营、人力资源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人力调整不得以编制数下达(无编制数据,待补C-05/T-12)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6"/>
              </w:rPr>
              <w:t>按月回检坪效与租售比,12月按同一口径重新分级</w:t>
            </w:r>
          </w:p>
        </w:tc>
      </w:tr>
      <w:tr>
        <w:tc>
          <w:tcPr>
            <w:tcW w:type="dxa" w:w="624"/>
          </w:tcPr>
          <w:p>
            <w:pPr>
              <w:spacing w:after="20"/>
            </w:pPr>
            <w:r/>
            <w:r>
              <w:rPr>
                <w:sz w:val="16"/>
              </w:rPr>
              <w:t>P5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6"/>
              </w:rPr>
              <w:t>2026-09至12月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  <w:r>
              <w:rPr>
                <w:sz w:val="16"/>
              </w:rPr>
              <w:t>①节日促销四节点执行(9月开学、10月国庆、11月双11、12月年终);②折扣月度滚动;③会员等级体系重建方案设计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6"/>
              </w:rPr>
              <w:t>市场部、会员中心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6"/>
              </w:rPr>
              <w:t>双11档期须设第10天ROI&lt;2停投检查点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sz w:val="16"/>
              </w:rPr>
              <w:t>各节点ROI≥2.5(节日促销)、≥3.0(会员日,CH02)</w:t>
            </w:r>
          </w:p>
        </w:tc>
      </w:tr>
    </w:tbl>
    <w:p>
      <w:pPr>
        <w:spacing w:after="40"/>
      </w:pPr>
    </w:p>
    <w:p>
      <w:pPr>
        <w:pStyle w:val="Heading2"/>
      </w:pPr>
      <w:r>
        <w:t>7.5 相互约束:哪些结论互为前提</w:t>
      </w:r>
    </w:p>
    <w:p>
      <w:pPr>
        <w:pStyle w:val="ListBullet"/>
        <w:spacing w:after="40" w:line="300" w:lineRule="auto"/>
        <w:ind w:left="454"/>
      </w:pPr>
      <w:r>
        <w:t>渠道↔促销:两者是同一个费用池(H1合计4,179,305元)。促销侧砍掉的直播与12个低效活动,正是渠道侧CH01/CH03/CH05收缩额度的主要来源;若促销侧不执行,渠道侧的收缩就只能变成等比压缩广告,而按平均毛利/广告倍数(CH05 2.04、CH03 2.15)等比压缩存在减利风险。因此渠道收缩必须以促销出清先行。</w:t>
      </w:r>
    </w:p>
    <w:p>
      <w:pPr>
        <w:pStyle w:val="ListBullet"/>
        <w:spacing w:after="40" w:line="300" w:lineRule="auto"/>
        <w:ind w:left="454"/>
      </w:pPr>
      <w:r>
        <w:t>渠道↔会员:CH02增投(+80%)的回报依赖会员运营落地,而会员运营的可考核目标又受"状态/流失标记"字段不可靠的限制(待补C-04)。在字段修复前,CH02增投的效果只能以"人均订单数"与"CH02会员订单占比"验证,不能以留存率验证;若管理层要求以留存率考核,则CH02增投应推迟至字段修复后。</w:t>
      </w:r>
    </w:p>
    <w:p>
      <w:pPr>
        <w:pStyle w:val="ListBullet"/>
        <w:spacing w:after="40" w:line="300" w:lineRule="auto"/>
        <w:ind w:left="454"/>
      </w:pPr>
      <w:r>
        <w:t>门店↔渠道:门店承担了线上渠道49.8%的履约金额。S021(O2O占比26.5%)与S036(19.3%)退出会直接削弱对应商圈的线上履约能力,因此关停决议必须与该商圈的接续点位方案同步提交,不能单独通过。反之,若CH06的渠道归属口径按制度3.2调整(待补C-02),门店O2O履约的业务重要性将进一步上升,部分C级高O2O门店的动作可能需要从"限投观察"改为"转型保留"。</w:t>
      </w:r>
    </w:p>
    <w:p>
      <w:pPr>
        <w:pStyle w:val="ListBullet"/>
        <w:spacing w:after="40" w:line="300" w:lineRule="auto"/>
        <w:ind w:left="454"/>
      </w:pPr>
      <w:r>
        <w:t>门店↔租约:13家门店的续租状态未确认,其中包含A级1家、B级4家、C级4家、D级4家。这一项不闭环,S002/S012/S018/S036的退出路径与成本(违约金合计424,886元)都无法确定,门店侧的财务改善预期也无法锁定。</w:t>
      </w:r>
    </w:p>
    <w:p>
      <w:pPr>
        <w:pStyle w:val="ListBullet"/>
        <w:spacing w:after="40" w:line="300" w:lineRule="auto"/>
        <w:ind w:left="454"/>
      </w:pPr>
      <w:r>
        <w:t>促销↔门店:32个活动挂靠具体门店,但门店营销费(2,076,139元)未标识活动归属(待补P-03),因此门店级促销效率无法评价。这意味着"把促销资源向高效门店集中"这一自然延伸动作,在H2初期不具备数据条件,须待费用标签补齐后再启动。</w:t>
      </w:r>
    </w:p>
    <w:p>
      <w:pPr>
        <w:pStyle w:val="ListBullet"/>
        <w:spacing w:after="40" w:line="300" w:lineRule="auto"/>
        <w:ind w:left="454"/>
      </w:pPr>
      <w:r>
        <w:t>总量约束:本方案的全部增投(CH02 +178,757元、CH04 +35,580元)均由收缩项对冲,机动池480,867元亦来自收缩。若管理层同时批准本报告的增投项而不执行收缩项,费用池将超出H1水平,本报告的盈利改善逻辑不再成立。</w:t>
      </w:r>
    </w:p>
    <w:p>
      <w:pPr>
        <w:pStyle w:val="Heading2"/>
      </w:pPr>
      <w:r>
        <w:t>7.6 将本方案转化为最终金额与编制所需的管理参数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17"/>
              </w:rPr>
              <w:t>需核定的管理参数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b/>
                <w:sz w:val="17"/>
              </w:rPr>
              <w:t>用途</w:t>
            </w:r>
          </w:p>
        </w:tc>
        <w:tc>
          <w:tcPr>
            <w:tcW w:type="dxa" w:w="4535"/>
          </w:tcPr>
          <w:p>
            <w:pPr>
              <w:jc w:val="center"/>
            </w:pPr>
            <w:r/>
            <w:r>
              <w:rPr>
                <w:b/>
                <w:sz w:val="17"/>
              </w:rPr>
              <w:t>缺失时的影响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H2营销费用池总额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将本章占比换算为绝对金额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7"/>
              </w:rPr>
              <w:t>本章金额均以"H1同等费用池等额重置"为前提;若H2总额变化,按各渠道建议占比等比换算即可,方向与优先级不变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门店各岗位在岗人数与人均成本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将人力费用调整换算为编制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7"/>
              </w:rPr>
              <w:t>当前只能以费用与费用率表述,不能下达编制数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门店转型/整改的资本性支出审批阈值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确定S036缩面积、S001/S012/S040转型是否需上报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7"/>
              </w:rPr>
              <w:t>转型方案的审批层级与时间表无法确定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闭店决策的审批权限与违约金列支科目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S036、S021退出决议的执行路径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7"/>
              </w:rPr>
              <w:t>退出时点与一次性成本的会计处理无法确定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促销单场审批阈值与破价审批权限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落实"破价单独审批"与"首日ROI&lt;1.5停投"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7"/>
              </w:rPr>
              <w:t>规则无法形成硬约束,价格损耗难以收口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sz w:val="17"/>
              </w:rPr>
              <w:t>渠道侧运营人力编制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承接CH02增投与会员运营专项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7"/>
              </w:rPr>
              <w:t>CH02增投的承接能力上限无法确认,增投可能无法转化为业绩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八、风险提示与待补项汇总</w:t>
      </w:r>
    </w:p>
    <w:p>
      <w:pPr>
        <w:pStyle w:val="Heading2"/>
      </w:pPr>
      <w:r>
        <w:t>8.1 可能改变本报告主要结论的三项风险</w:t>
      </w:r>
    </w:p>
    <w:p>
      <w:pPr>
        <w:pStyle w:val="ListBullet"/>
        <w:spacing w:after="40" w:line="300" w:lineRule="auto"/>
        <w:ind w:left="454"/>
      </w:pPr>
      <w:r>
        <w:t>口径风险(最高):《渠道月度费用》"毛利"列与另两份来源差1,096,421元(+15.1%)。若财务确认以费用表为准,六渠道费后贡献合计由-342,510元转为+753,911元,"线上整体费后亏损"这一核心判断将改变,渠道收缩的力度应相应减小。本报告已按制度4.2选择两份来源交叉一致的口径,但该分歧必须在复盘会前闭环(C-09)。</w:t>
      </w:r>
    </w:p>
    <w:p>
      <w:pPr>
        <w:pStyle w:val="ListBullet"/>
        <w:spacing w:after="40" w:line="300" w:lineRule="auto"/>
        <w:ind w:left="454"/>
      </w:pPr>
      <w:r>
        <w:t>归属风险:制度3.2与数据现状对"即时配送订单"的渠道归属存在分歧,涉及净收入5,062,530元。若按制度重归属,CH06净收入升至约7,051,535元,六渠道规模排序与费用率全部改变,第三章方向与7.1额度表须重做(C-02)。</w:t>
      </w:r>
    </w:p>
    <w:p>
      <w:pPr>
        <w:pStyle w:val="ListBullet"/>
        <w:spacing w:after="40" w:line="300" w:lineRule="auto"/>
        <w:ind w:left="454"/>
      </w:pPr>
      <w:r>
        <w:t>事实风险:13家门店租约载明到期日早于评价期末而台账状态为"营业"。若续租已发生且条款变更(例如租金上调),部分门店的租售比与分级可能变化;若未续租,则S002/S012/S018/S036存在无租约经营的合规问题。这一项既影响分级也影响动作可执行性(T-09)。</w:t>
      </w:r>
    </w:p>
    <w:p>
      <w:pPr>
        <w:pStyle w:val="Heading2"/>
      </w:pPr>
      <w:r>
        <w:t>8.2 待补项总览</w:t>
      </w:r>
    </w:p>
    <w:p>
      <w:pPr>
        <w:spacing w:after="120" w:line="307" w:lineRule="auto"/>
      </w:pPr>
      <w:r>
        <w:rPr>
          <w:b w:val="0"/>
        </w:rPr>
        <w:t>本报告共列示待补项25项,其中渠道侧9项(C-01至C-09)、门店侧12项(T-01至T-12)、促销侧6项(P-01至P-06),逐项的当前证据状态、需补充来源与补齐后可能改变的结论,分别见三份配套表格的"待补项清单"工作表。下表汇总影响决策的10项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794"/>
          </w:tcPr>
          <w:p>
            <w:pPr>
              <w:jc w:val="center"/>
            </w:pPr>
            <w:r/>
            <w:r>
              <w:rPr>
                <w:b/>
                <w:sz w:val="17"/>
              </w:rPr>
              <w:t>编号</w:t>
            </w:r>
          </w:p>
        </w:tc>
        <w:tc>
          <w:tcPr>
            <w:tcW w:type="dxa" w:w="2948"/>
          </w:tcPr>
          <w:p>
            <w:pPr>
              <w:jc w:val="center"/>
            </w:pPr>
            <w:r/>
            <w:r>
              <w:rPr>
                <w:b/>
                <w:sz w:val="17"/>
              </w:rPr>
              <w:t>事项</w:t>
            </w:r>
          </w:p>
        </w:tc>
        <w:tc>
          <w:tcPr>
            <w:tcW w:type="dxa" w:w="2608"/>
          </w:tcPr>
          <w:p>
            <w:pPr>
              <w:jc w:val="center"/>
            </w:pPr>
            <w:r/>
            <w:r>
              <w:rPr>
                <w:b/>
                <w:sz w:val="17"/>
              </w:rPr>
              <w:t>影响范围</w:t>
            </w:r>
          </w:p>
        </w:tc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7"/>
              </w:rPr>
              <w:t>是否阻断H2决策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C-09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费用表毛利口径分歧(1,096,421元)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渠道盈亏判断、收缩力度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是——建议复盘会前完成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C-02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即时配送订单渠道归属(5,062,530元)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六渠道规模与投入额度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是——影响CH06与平台渠道的所有额度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T-09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13家门店续租状态与续租后条款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门店分级、关停可执行性、违约金424,886元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是——S002/S012/S018/S036/S021的动作无法定档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T-01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分级落位规则(34/42家涉及)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A/B/C分布与资源优先级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部分——不影响D级与动作方向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T-02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2025年同店销售基准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S005、S031的A级认定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部分——不影响其"保留/标杆"动作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C-04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会员状态与流失标记字段可靠性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会员运营的考核目标设定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部分——已改用订单数类目标规避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C-05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H2总预算、人力编制上限、审批阈值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将比例方案转为金额与编制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是——但可先按比例执行方向性调整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P-01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活动费与广告费的科目从属关系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费用池绝对值(4,179,305元 vs 3,349,954元)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部分——占比与方向结论不变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T-05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O2O单量口径(相差约505倍)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履约人效等派生指标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否——金额口径结论不受影响</w:t>
            </w:r>
          </w:p>
        </w:tc>
      </w:tr>
      <w:tr>
        <w:tc>
          <w:tcPr>
            <w:tcW w:type="dxa" w:w="794"/>
          </w:tcPr>
          <w:p>
            <w:pPr>
              <w:spacing w:after="20"/>
            </w:pPr>
            <w:r/>
            <w:r>
              <w:rPr>
                <w:sz w:val="17"/>
              </w:rPr>
              <w:t>T-11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7"/>
              </w:rPr>
              <w:t>制度v2026.09对H1的追溯效力</w:t>
            </w:r>
          </w:p>
        </w:tc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7"/>
              </w:rPr>
              <w:t>分级结果作为考核依据的适用性</w:t>
            </w:r>
          </w:p>
        </w:tc>
        <w:tc>
          <w:tcPr>
            <w:tcW w:type="dxa" w:w="2721"/>
          </w:tcPr>
          <w:p>
            <w:pPr>
              <w:spacing w:after="20"/>
            </w:pPr>
            <w:r/>
            <w:r>
              <w:rPr>
                <w:sz w:val="17"/>
              </w:rPr>
              <w:t>部分——影响对区域负责人的考核适用,不影响资源配置判断</w:t>
            </w:r>
          </w:p>
        </w:tc>
      </w:tr>
    </w:tbl>
    <w:p>
      <w:pPr>
        <w:spacing w:after="40"/>
      </w:pPr>
    </w:p>
    <w:p>
      <w:pPr>
        <w:pStyle w:val="Heading2"/>
      </w:pPr>
      <w:r>
        <w:t>8.3 依据回指索引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7"/>
              </w:rPr>
              <w:t>本报告章节</w:t>
            </w:r>
          </w:p>
        </w:tc>
        <w:tc>
          <w:tcPr>
            <w:tcW w:type="dxa" w:w="5896"/>
          </w:tcPr>
          <w:p>
            <w:pPr>
              <w:jc w:val="center"/>
            </w:pPr>
            <w:r/>
            <w:r>
              <w:rPr>
                <w:b/>
                <w:sz w:val="17"/>
              </w:rPr>
              <w:t>主要数据来源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17"/>
              </w:rPr>
              <w:t>配套表格位置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三、渠道结构诊断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7"/>
              </w:rPr>
              <w:t>《2026H1渠道销售明细》(渠道销售明细/渠道退款明细/渠道月度汇总)、《2026H1线上投放与平台费用》(渠道月度费用/投放明细/平台佣金规则)、《渠道与门店管理策略》1.1-1.3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《渠道资源再配置建议.xlsx》表1、表2、表3、表7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四、会员跨渠道行为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7"/>
              </w:rPr>
              <w:t>《2026H1会员与跨渠道订单》(会员基础/会员订单/跨渠道行为)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《渠道资源再配置建议.xlsx》表4、表5、表6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五、门店诊断与分级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7"/>
              </w:rPr>
              <w:t>《2026H1门店经营台账》(门店基础信息/门店月度经营/门店费用/门店库存)、《华东区门店租约汇总》、《渠道与门店管理策略》2.1-2.4、3.1-3.4、6.1-6.3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《门店分级与调整建议.xlsx》表0、表1、表2、表3、表4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六、促销组合评估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7"/>
              </w:rPr>
              <w:t>《2026H1促销活动记录》(活动清单/活动明细/活动效果)、《SKU主数据》、《2026H1线上投放与平台费用》(投放明细)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《促销组合优化建议.xlsx》表0、表1、表2、表3、表4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七、资源再配置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7"/>
              </w:rPr>
              <w:t>上述全部来源的汇总口径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三份表格的建议列与待补项清单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sz w:val="17"/>
              </w:rPr>
              <w:t>未采用的材料</w:t>
            </w:r>
          </w:p>
        </w:tc>
        <w:tc>
          <w:tcPr>
            <w:tcW w:type="dxa" w:w="5896"/>
          </w:tcPr>
          <w:p>
            <w:pPr>
              <w:spacing w:after="20"/>
            </w:pPr>
            <w:r/>
            <w:r>
              <w:rPr>
                <w:sz w:val="17"/>
              </w:rPr>
              <w:t>《旧版门店清单_2024》含50家门店,与现行42家门店在区域、城市、状态上多处不一致(例如S001区域为华南/广州,现行台账为华东/杭州);按制度4.2以现行门店台账为准,该文件作为2024年历史资料不纳入本次分析依据(待补T-10:其中已关闭门店是否存在遗留租约责任需资产部门单独核查)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sz w:val="17"/>
              </w:rPr>
              <w:t>—</w:t>
            </w:r>
          </w:p>
        </w:tc>
      </w:tr>
    </w:tbl>
    <w:p>
      <w:pPr>
        <w:spacing w:after="40"/>
      </w:pPr>
    </w:p>
    <w:p>
      <w:pPr>
        <w:spacing w:after="80" w:line="307" w:lineRule="auto"/>
      </w:pPr>
    </w:p>
    <w:p>
      <w:pPr>
        <w:spacing w:after="80" w:line="307" w:lineRule="auto"/>
        <w:jc w:val="center"/>
      </w:pPr>
      <w:r>
        <w:rPr>
          <w:b w:val="0"/>
          <w:sz w:val="18"/>
        </w:rPr>
        <w:t>本报告所有金额取自附件数据的直接计算,未使用任何外部数据或假设值补齐事实。凡材料无法交叉印证之处,均以待补项或条件性结论列示。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386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