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2026H2 渠道与门店经营策略报告</w:t>
      </w:r>
    </w:p>
    <w:p>
      <w:pPr>
        <w:jc w:val="center"/>
      </w:pPr>
      <w:r>
        <w:t>—— 2026H1 经营复盘与下半年资源再配置方案</w:t>
      </w:r>
    </w:p>
    <w:p>
      <w:r>
        <w:rPr>
          <w:b/>
        </w:rPr>
        <w:t>报告期:2026-01-01 至 2026-06-30(2026H1)</w:t>
        <w:br/>
      </w:r>
      <w:r>
        <w:t>建议执行期:2026-07-01 至 2026-12-31(2026H2)</w:t>
        <w:br/>
      </w:r>
      <w:r>
        <w:t>基准日:2026-06-30</w:t>
        <w:br/>
        <w:t>报告提交人:渠道与门店运营策略经理</w:t>
        <w:br/>
        <w:t>报告提交日期:2026 年 07 月 05 日</w:t>
        <w:br/>
      </w:r>
      <w:r>
        <w:t>报告对象:集团 CEO、CFO、COO、董事会成员</w:t>
      </w:r>
    </w:p>
    <w:p>
      <w:pPr>
        <w:pStyle w:val="Heading1"/>
      </w:pPr>
      <w:r>
        <w:rPr>
          <w:color w:val="000000"/>
        </w:rPr>
        <w:t>摘要</w:t>
      </w:r>
    </w:p>
    <w:p>
      <w:pPr>
        <w:pStyle w:val="ListNumber"/>
      </w:pPr>
      <w:r>
        <w:t>渠道规模:2026H1 六个线上渠道合计净收入 6,109,827.69 元、毛利 1,214,760.91 元,但扣除渠道费用后合计净利 -718,839.10 元,整体仍未盈利。</w:t>
      </w:r>
    </w:p>
    <w:p>
      <w:pPr>
        <w:pStyle w:val="ListNumber"/>
      </w:pPr>
      <w:r>
        <w:t>渠道分化:天猫旗舰店 与 抖音小店 合计占净收入 59.0%,集中度偏高;仅 微信小程序 实现正净利(21,985.36 元,销售费用率 13.8%),其余渠道费用率均在 26.5%–37.8% 区间。</w:t>
      </w:r>
    </w:p>
    <w:p>
      <w:pPr>
        <w:pStyle w:val="ListNumber"/>
      </w:pPr>
      <w:r>
        <w:t>门店结构:42 家门店中 A 级 3 家、B 级 29 家、C 级 3 家、D 级 7 家;门店 O2O 履约贡献合计 2,851,342.38 元,已成为门店价值的重要组成部分。</w:t>
      </w:r>
    </w:p>
    <w:p>
      <w:pPr>
        <w:pStyle w:val="ListNumber"/>
      </w:pPr>
      <w:r>
        <w:t>促销效率:50 个活动 ROI 中位数 1.25,40.0% 的活动 ROI 低于 1,促销组合存在明显低效投入,需按类型重构。</w:t>
      </w:r>
    </w:p>
    <w:p>
      <w:pPr>
        <w:pStyle w:val="ListNumber"/>
      </w:pPr>
      <w:r>
        <w:t>会员基础:2,500 名会员中 54.6% 在 2 个及以上渠道购买(平均 1.92 个渠道),Top10% 会员贡献 43.4% 累计消费,流失会员占比 23.3%。</w:t>
      </w:r>
    </w:p>
    <w:p>
      <w:pPr>
        <w:pStyle w:val="Heading1"/>
      </w:pPr>
      <w:r>
        <w:rPr>
          <w:color w:val="000000"/>
        </w:rPr>
        <w:t>第 1 章 渠道结构诊断与 H2 资源调整建议</w:t>
      </w:r>
    </w:p>
    <w:p>
      <w:r>
        <w:t>2026H1 六个线上渠道合计净收入 6,109,827.69 元,毛利 1,214,760.91 元,平均渠道毛利率 19.9%;渠道费用(广告、平台佣金、技术服务、支付、履约、包装、退货售后及其他)合计 1,933,600.01 元,平均销售费用率 31.6%,合计净利 -718,839.10 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渠道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净收入(元)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毛利率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销售费用率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投放ROI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净利(元)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H2 方向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天猫旗舰店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2,041,902.26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19.6%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34.5%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2.01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-303,881.15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收缩(-15%)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抖音小店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1,563,966.84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20.5%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37.8%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1.83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-270,804.82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收缩(-15%)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京东自营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1,162,383.18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20.6%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26.5%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3.04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-68,299.14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维持(+0%)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自营APP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691,728.66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18.5%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30.0%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1.88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-79,554.70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维持(+0%)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微信小程序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411,486.74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19.2%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13.8%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4.74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21,985.36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增投(+20%)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美团闪购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238,360.01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20.2%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27.9%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2.96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-18,284.65</w:t>
            </w:r>
          </w:p>
        </w:tc>
        <w:tc>
          <w:tcPr>
            <w:tcW w:type="dxa" w:w="12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维持(+0%)</w:t>
            </w:r>
          </w:p>
        </w:tc>
      </w:tr>
    </w:tbl>
    <w:p/>
    <w:p>
      <w:r>
        <w:t>结论与建议:① 对 微信小程序 增投 20%(唯一正净利渠道,销售费用率仅 13.8%);② 对销售费用率 ≥33% 且亏损的渠道(共 2 个)收缩投入 15%,重点是压缩低效投放而非降低销售规模;③ 其余亏损渠道维持投入,优先优化费用结构(调整人群定向、降低退货售后与履约成本)。</w:t>
      </w:r>
    </w:p>
    <w:p>
      <w:pPr>
        <w:pStyle w:val="Heading1"/>
      </w:pPr>
      <w:r>
        <w:rPr>
          <w:color w:val="000000"/>
        </w:rPr>
        <w:t>第 2 章 门店经营诊断、分级与调整建议</w:t>
      </w:r>
    </w:p>
    <w:p>
      <w:r>
        <w:t>42 家门店 2026H1 累计到店销售额 76,392,804.70 元,累计门店 O2O 履约贡献 2,851,342.38 元。按《渠道与门店管理策略.docx》第 2 章规则(先按到店坪效定级,租售比 &gt;35% 直接列为 D 级):A 级 3 家、B 级 29 家、C 级 3 家、D 级 7 家,全部门店均给出级别,无无法归类的门店。</w:t>
      </w:r>
    </w:p>
    <w:p>
      <w:r>
        <w:t>D 级门店 7 家中,2 家同时满足「租约在 2026H2 内到期」与「连续 6 个月 D 级」两项闭店条件,建议启动闭店评估;其余 D 级门店租约未到期,建议按转前置仓/自提点方向评估。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门店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区域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到店坪效(元/㎡/月)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租售比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调整建议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539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138.8%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闭店评估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S034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578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132.3%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823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64.8%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S017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1298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43.4%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闭店评估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S033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1790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42.0%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S012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华东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1980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37.8%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S028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华南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1991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36.8%</w:t>
            </w:r>
          </w:p>
        </w:tc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转前置仓或自提点</w:t>
            </w:r>
          </w:p>
        </w:tc>
      </w:tr>
    </w:tbl>
    <w:p/>
    <w:p>
      <w:r>
        <w:t>另有 3 家门店计划期内发生面积调整(S006, S013, S031),其坪效口径可能失真,已在《异常与待核清单.xlsx》披露。</w:t>
      </w:r>
    </w:p>
    <w:p>
      <w:pPr>
        <w:pStyle w:val="Heading1"/>
      </w:pPr>
      <w:r>
        <w:rPr>
          <w:color w:val="000000"/>
        </w:rPr>
        <w:t>第 3 章 促销组合效果评估与 H2 节奏建议</w:t>
      </w:r>
    </w:p>
    <w:p>
      <w:r>
        <w:t>2026H1 共开展 50 个促销活动,实际费用合计 416,195.53 元,带来增量销售额 1,904,400.03 元、增量毛利 493,870.11 元,整体 ROI 1.19。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活动类型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活动数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中位 ROI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整体 ROI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节日促销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1.80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1.92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直播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1.36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1.38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满减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12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1.15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1.22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折扣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0.99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1.15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会员日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0.96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0.79</w:t>
            </w:r>
          </w:p>
        </w:tc>
      </w:tr>
    </w:tbl>
    <w:p/>
    <w:p>
      <w:r>
        <w:t>按本报告自定阈值(ROI ≥2 保留、1≤ROI&lt;2 调整、ROI&lt;1 取消),建议保留 14 个、调整 16 个、取消 20 个;H2 节奏建议见交付物 4 的「H2 节奏建议」Sheet,预算按 H1 实际费用水平分配到 6 个月,重点保障双 11、双 12 等大促节点。</w:t>
      </w:r>
    </w:p>
    <w:p>
      <w:pPr>
        <w:pStyle w:val="Heading1"/>
      </w:pPr>
      <w:r>
        <w:rPr>
          <w:color w:val="000000"/>
        </w:rPr>
        <w:t>第 4 章 会员运营建议</w:t>
      </w:r>
    </w:p>
    <w:p>
      <w:r>
        <w:t>2,500 名注册会员中,线上渠道注册 55.2%、门店注册 44.8%;人均订单 2.40 笔,复购会员(订单数 ≥2)占比 59.6%。</w:t>
      </w:r>
    </w:p>
    <w:p>
      <w:r>
        <w:t>跨渠道行为:54.6% 的会员在 2 个及以上渠道购买,平均跨 1.92 个渠道;Top10% 会员贡献 43.4% 的累计消费;流失会员占比 23.3%,平均 RFM 分 3.00。建议:① 对 Top10% 会员配置专属服务与提前购;② 对仅在单一渠道购买的会员投放到店自提/跨渠道优惠券,提升渠道协同;③ 对流失会员按最近购买时间分群唤回,优先使用微信小程序等低费用渠道触达。</w:t>
      </w:r>
    </w:p>
    <w:p>
      <w:pPr>
        <w:pStyle w:val="Heading1"/>
      </w:pPr>
      <w:r>
        <w:rPr>
          <w:color w:val="000000"/>
        </w:rPr>
        <w:t>第 5 章 H2 资源再配置方案与执行优先级</w:t>
      </w:r>
    </w:p>
    <w:p>
      <w:r>
        <w:t>营销预算:按渠道调整方向再分配,H1 广告费合计 979,681.90 元;收缩渠道释放的投放额度优先转入 微信小程序 与高 ROI 促销类型。</w:t>
      </w:r>
    </w:p>
    <w:p>
      <w:r>
        <w:t>门店资源:D 级门店按闭店/转型路径处置,预计释放人力与租金;C 级门店以降租谈判与品类优化为主,3 个月后复评;A 级门店追加资源作为标杆。</w:t>
      </w:r>
    </w:p>
    <w:p>
      <w:r>
        <w:t>执行优先级:</w:t>
      </w:r>
    </w:p>
    <w:p>
      <w:pPr>
        <w:pStyle w:val="ListBullet"/>
      </w:pPr>
      <w:r>
        <w:t>P0(7 月内):启动满足「租约到期 + 连续 6 个月 D 级」条件的门店闭店评估,测算违约金与释放成本;</w:t>
      </w:r>
    </w:p>
    <w:p>
      <w:pPr>
        <w:pStyle w:val="ListBullet"/>
      </w:pPr>
      <w:r>
        <w:t>P0(7 月内):收缩高费用率渠道的低效投放,设定销售费用率下降目标;</w:t>
      </w:r>
    </w:p>
    <w:p>
      <w:pPr>
        <w:pStyle w:val="ListBullet"/>
      </w:pPr>
      <w:r>
        <w:t>P1(8 月内):对 微信小程序 增投 20%,并同步扩充会员与私域运营;</w:t>
      </w:r>
    </w:p>
    <w:p>
      <w:pPr>
        <w:pStyle w:val="ListBullet"/>
      </w:pPr>
      <w:r>
        <w:t>P1(8 月内):按 H2 节奏表落地促销组合,取消 ROI &lt;1 的活动类型;</w:t>
      </w:r>
    </w:p>
    <w:p>
      <w:pPr>
        <w:pStyle w:val="ListBullet"/>
      </w:pPr>
      <w:r>
        <w:t>P2(Q3 末):完成 D 级门店转前置仓/自提点试点;</w:t>
      </w:r>
    </w:p>
    <w:p>
      <w:pPr>
        <w:pStyle w:val="ListBullet"/>
      </w:pPr>
      <w:r>
        <w:t>P2(Q4 末):复盘渠道费用结构与会员跨渠道转化,确定 2027 年资源基线。</w:t>
      </w:r>
    </w:p>
    <w:p>
      <w:pPr>
        <w:pStyle w:val="Heading1"/>
      </w:pPr>
      <w:r>
        <w:rPr>
          <w:color w:val="000000"/>
        </w:rPr>
        <w:t>附录 关键判断依据回指附件清单</w:t>
      </w:r>
    </w:p>
    <w:p>
      <w:r>
        <w:t>本报告全部关键数字均可回指下列附件的具体 Sheet 与字段: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结论类别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依据文件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</w:tcPr>
          <w:p>
            <w:r>
              <w:rPr>
                <w:b/>
                <w:color w:val="000000"/>
              </w:rPr>
              <w:t>具体 Sheet / 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渠道净收入、毛利、客单价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《2026H1渠道销售明细.xlsx》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渠道月度汇总 Sheet(净收入/毛利/客单价)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渠道费用与渠道净利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《2026H1线上投放与平台费用.xlsx》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渠道月度费用 Sheet(广告费/平台佣金/履约费/费用合计/渠道净利)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投放 ROI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《2026H1线上投放与平台费用.xlsx》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投放明细 Sheet(支付金额 ÷ 投放金额)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门店到店销售、坪效、租售比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《2026H1门店经营台账.xlsx》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门店月度经营 Sheet(到店销售额)、门店费用 Sheet(租金及物业费)、门店基础信息 Sheet(营业面积/面积是否调整)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 O2O 履约贡献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《2026H1渠道销售明细.xlsx》 + 《2026H1门店经营台账.xlsx》 交叉聚合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渠道销售明细 Sheet(发货方式 ∈ {门店发货,到店自提} 的净收入)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门店分级与调整建议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《渠道与门店管理策略.docx》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第 2 章门店分级标准(2.1–2.3)、第 6 章闭店与改造条件(6.1–6.4)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闭店约束(租期/违约金)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《华东区门店租约汇总.docx》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逐门店:租期结束、闭店条件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促销 ROI 与类型效果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《2026H1促销活动记录.xlsx》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活动效果 Sheet(增量毛利/ROI)、活动清单 Sheet(活动类型/实际费用)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会员结构、复购与跨渠道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《2026H1会员与跨渠道订单.xlsx》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会员基础/会员订单/跨渠道行为 Sheet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SKU 成本与品类等级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《SKU主数据.xlsx》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>
              <w:t>SKU主数据 Sheet(单位成本/标准标价/品类等级)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