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等线" w:hAnsi="等线" w:eastAsia="等线"/>
          <w:b/>
          <w:i w:val="0"/>
          <w:color w:val="1F497D"/>
          <w:sz w:val="48"/>
        </w:rPr>
        <w:t>2026H2 渠道与门店经营策略报告</w:t>
      </w:r>
    </w:p>
    <w:p>
      <w:pPr>
        <w:spacing w:after="800"/>
        <w:jc w:val="center"/>
      </w:pPr>
      <w:r>
        <w:rPr>
          <w:rFonts w:ascii="等线" w:hAnsi="等线" w:eastAsia="等线"/>
          <w:b w:val="0"/>
          <w:i w:val="0"/>
          <w:color w:val="595959"/>
          <w:sz w:val="24"/>
        </w:rPr>
        <w:t>—— 基于 2026 年上半年实际经营数据的资源再配置、门店分级与调整、促销组合与会员运营方案 ——</w:t>
      </w:r>
    </w:p>
    <w:p>
      <w:pPr>
        <w:spacing w:after="120"/>
        <w:jc w:val="center"/>
      </w:pPr>
      <w:r>
        <w:rPr>
          <w:rFonts w:ascii="等线" w:hAnsi="等线" w:eastAsia="等线"/>
          <w:b/>
          <w:sz w:val="23"/>
        </w:rPr>
        <w:t>报告期:</w:t>
      </w:r>
      <w:r>
        <w:rPr>
          <w:rFonts w:ascii="等线" w:hAnsi="等线" w:eastAsia="等线"/>
          <w:sz w:val="23"/>
        </w:rPr>
        <w:t>建议执行期 2026-07-01 至 2026-12-31(数据回顾期 2026-01-01 至 2026-06-30)</w:t>
      </w:r>
    </w:p>
    <w:p>
      <w:pPr>
        <w:spacing w:after="120"/>
        <w:jc w:val="center"/>
      </w:pPr>
      <w:r>
        <w:rPr>
          <w:rFonts w:ascii="等线" w:hAnsi="等线" w:eastAsia="等线"/>
          <w:b/>
          <w:sz w:val="23"/>
        </w:rPr>
        <w:t>提 交 人:</w:t>
      </w:r>
      <w:r>
        <w:rPr>
          <w:rFonts w:ascii="等线" w:hAnsi="等线" w:eastAsia="等线"/>
          <w:sz w:val="23"/>
        </w:rPr>
        <w:t>渠道与门店运营策略经理(向集团首席运营官 COO 汇报)</w:t>
      </w:r>
    </w:p>
    <w:p>
      <w:pPr>
        <w:spacing w:after="120"/>
        <w:jc w:val="center"/>
      </w:pPr>
      <w:r>
        <w:rPr>
          <w:rFonts w:ascii="等线" w:hAnsi="等线" w:eastAsia="等线"/>
          <w:b/>
          <w:sz w:val="23"/>
        </w:rPr>
        <w:t>提交日期:</w:t>
      </w:r>
      <w:r>
        <w:rPr>
          <w:rFonts w:ascii="等线" w:hAnsi="等线" w:eastAsia="等线"/>
          <w:sz w:val="23"/>
        </w:rPr>
        <w:t>2026-07-31</w:t>
      </w:r>
    </w:p>
    <w:p>
      <w:pPr>
        <w:spacing w:after="120"/>
        <w:jc w:val="center"/>
      </w:pPr>
      <w:r>
        <w:rPr>
          <w:rFonts w:ascii="等线" w:hAnsi="等线" w:eastAsia="等线"/>
          <w:b/>
          <w:sz w:val="23"/>
        </w:rPr>
        <w:t>报告对象:</w:t>
      </w:r>
      <w:r>
        <w:rPr>
          <w:rFonts w:ascii="等线" w:hAnsi="等线" w:eastAsia="等线"/>
          <w:sz w:val="23"/>
        </w:rPr>
        <w:t>集团 CEO、CFO、COO、董事会成员,及财务、运营、营销负责人</w:t>
      </w:r>
    </w:p>
    <w:p>
      <w:pPr>
        <w:spacing w:after="120"/>
        <w:jc w:val="center"/>
      </w:pPr>
      <w:r>
        <w:rPr>
          <w:rFonts w:ascii="等线" w:hAnsi="等线" w:eastAsia="等线"/>
          <w:b/>
          <w:sz w:val="23"/>
        </w:rPr>
        <w:t>基准日:</w:t>
      </w:r>
      <w:r>
        <w:rPr>
          <w:rFonts w:ascii="等线" w:hAnsi="等线" w:eastAsia="等线"/>
          <w:sz w:val="23"/>
        </w:rPr>
        <w:t>2026-06-30(状态类判断基准);租约到期判断以 2026-12-31 为界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60"/>
      </w:pPr>
      <w:r>
        <w:rPr>
          <w:rFonts w:ascii="等线" w:hAnsi="等线" w:eastAsia="等线"/>
          <w:b w:val="0"/>
          <w:i w:val="0"/>
          <w:sz w:val="21"/>
        </w:rPr>
        <w:t>本报告全部结论仅基于集团提供的 9 份 2026H1 材料,所有金额为人民币元;判断依据《渠道与门店管理策略》(v2026.09)现行标准。凡建议投入金额,在集团下达已批准 H2 预算上限前均为建议值或条件性方案。关键发现如下: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发现一:线上业务"增收不增利",费用效率是核心矛盾。</w:t>
      </w:r>
    </w:p>
    <w:p>
      <w:pPr>
        <w:spacing w:after="160"/>
      </w:pPr>
      <w:r>
        <w:rPr>
          <w:rFonts w:ascii="等线" w:hAnsi="等线" w:eastAsia="等线"/>
          <w:b w:val="0"/>
          <w:i w:val="0"/>
          <w:sz w:val="21"/>
        </w:rPr>
        <w:t>6 渠道 H1 净收入 6,109,827.69、毛利 1,214,760.91(综合毛利率 19.9%),渠道费用合计 1,933,600.01 后渠道净利 -718,839.10;广告费 979,681.90 占费用 50.7%。仅微信小程序(CH02)净利为正(+¥21,985),且投放 ROI(投资回报,=支付金额÷投放金额)4.74 为最高。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发现二:门店基本盘总体微亏、两极分化,7 家 D 级门店须分类处置。</w:t>
      </w:r>
    </w:p>
    <w:p>
      <w:pPr>
        <w:spacing w:after="160"/>
      </w:pPr>
      <w:r>
        <w:rPr>
          <w:rFonts w:ascii="等线" w:hAnsi="等线" w:eastAsia="等线"/>
          <w:b w:val="0"/>
          <w:i w:val="0"/>
          <w:sz w:val="21"/>
        </w:rPr>
        <w:t>42 店 H1 到店销售额 76,392,804.70,到店毛利 27,245,588.47,门店费用 28,862,696.92,到店口径经营收益 -1,617,108.45(22 店盈利、20 店亏损);分级 A 3 家、B 29 家、C 3 家、D 7 家。S029、S017 租约于 H2 内到期且连续 6 个月 D 级,应立即启动闭店评估;S023、S034、S012 已触发"租售比连续 3 个月&gt;35%"转换条件。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发现三:促销整体回报为正(ROI 1.19),但类型与渠道分化明显。</w:t>
      </w:r>
    </w:p>
    <w:p>
      <w:pPr>
        <w:spacing w:after="160"/>
      </w:pPr>
      <w:r>
        <w:rPr>
          <w:rFonts w:ascii="等线" w:hAnsi="等线" w:eastAsia="等线"/>
          <w:b w:val="0"/>
          <w:i w:val="0"/>
          <w:sz w:val="21"/>
        </w:rPr>
        <w:t>节日促销(加权 ROI 1.92)、直播(1.38)、满减(1.22)值得加投;会员日(0.79)整体亏损且赢率仅 46%。50 个活动中 30 个保留、13 个调整、7 个取消;增量口径无对照组且并行活动存在重复计入,结论为口径内相对判断。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发现四:跨渠道会员价值显著,高等级沉睡/流失会员是唤醒重点。</w:t>
      </w:r>
    </w:p>
    <w:p>
      <w:pPr>
        <w:spacing w:after="160"/>
      </w:pPr>
      <w:r>
        <w:rPr>
          <w:rFonts w:ascii="等线" w:hAnsi="等线" w:eastAsia="等线"/>
          <w:b w:val="0"/>
          <w:i w:val="0"/>
          <w:sz w:val="21"/>
        </w:rPr>
        <w:t>2,500 名会员中活跃 45.3%、沉睡 31.4%、流失 23.3%;跨渠道购买会员 1,366 名,人均累计消费 ¥877,为单渠道会员(¥282)的 3.1 倍。251 名沉睡、169 名流失的金卡/钻石会员(合计 420 名)应优先唤醒;另有 129 名仅在门店购买的注册会员是线上导流对象。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发现五:H2 资源主线明确:由"平台买流量"转向"自营留资产 + 高效履约"。</w:t>
      </w:r>
    </w:p>
    <w:p>
      <w:pPr>
        <w:spacing w:after="160"/>
      </w:pPr>
      <w:r>
        <w:rPr>
          <w:rFonts w:ascii="等线" w:hAnsi="等线" w:eastAsia="等线"/>
          <w:b w:val="0"/>
          <w:i w:val="0"/>
          <w:sz w:val="21"/>
        </w:rPr>
        <w:t>建议将天猫、抖音的低效广告费结构性下调约 15%–25%,增配微信小程序,京东维持,美团限额考核履约;人力随 2 家闭店、3 家业态转换在费用与岗位层面再配置(现有材料仅支持人工费用口径,人数待补编制与排班事实)。全部方案以集团批复 H2 预算、补充面积与租约核验为前提。</w:t>
      </w:r>
    </w:p>
    <w:p>
      <w:pPr>
        <w:spacing w:after="120"/>
      </w:pPr>
      <w:r>
        <w:rPr>
          <w:rFonts w:ascii="等线" w:hAnsi="等线" w:eastAsia="等线"/>
          <w:b/>
          <w:i w:val="0"/>
          <w:sz w:val="21"/>
        </w:rPr>
        <w:t>管理层需决策的三件事:①是否批准 S029/S017 到期不续约并立即发出通知(时间窗口最紧迫);②是否批准渠道广告结构性再配置及 H2 营销总预算上限;③是否批准 S023/S034/S012 转前置仓或自提点的改造投入。</w:t>
      </w:r>
    </w:p>
    <w:p>
      <w:r>
        <w:br w:type="page"/>
      </w:r>
    </w:p>
    <w:p>
      <w:pPr>
        <w:pStyle w:val="Heading1"/>
      </w:pPr>
      <w:r>
        <w:t>第 1 章 渠道结构诊断与 H2 资源调整建议</w:t>
      </w:r>
    </w:p>
    <w:p>
      <w:pPr>
        <w:spacing w:after="160"/>
      </w:pPr>
      <w:r>
        <w:rPr>
          <w:rFonts w:ascii="等线" w:hAnsi="等线" w:eastAsia="等线"/>
          <w:b w:val="0"/>
          <w:sz w:val="21"/>
        </w:rPr>
        <w:t>本章口径:收入、退款、商品成本、毛利、各项费用取自《2026H1线上投放与平台费用.xlsx·渠道月度费用》,并与《2026H1渠道销售明细.xlsx》订单级数据逐月核对一致(金额差均小于 ±0.01 元容差,策略 4.12 条)。术语:净收入=退款前收入−退款金额;渠道毛利率=毛利÷净收入;渠道净利=毛利−费用合计;投放 ROI=投放带来的支付金额÷投放金额(策略 7.3),按渠道汇总自《投放明细》。</w:t>
      </w:r>
    </w:p>
    <w:p>
      <w:pPr>
        <w:pStyle w:val="Heading2"/>
      </w:pPr>
      <w:r>
        <w:t>1.1 渠道规模、毛利与净利总览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渠道ID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30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退款前收入</w:t>
            </w:r>
          </w:p>
        </w:tc>
        <w:tc>
          <w:tcPr>
            <w:tcW w:type="dxa" w:w="130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净收入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毛利</w:t>
            </w:r>
          </w:p>
        </w:tc>
        <w:tc>
          <w:tcPr>
            <w:tcW w:type="dxa" w:w="73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毛利率</w:t>
            </w:r>
          </w:p>
        </w:tc>
        <w:tc>
          <w:tcPr>
            <w:tcW w:type="dxa" w:w="68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订单量</w:t>
            </w:r>
          </w:p>
        </w:tc>
        <w:tc>
          <w:tcPr>
            <w:tcW w:type="dxa" w:w="124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费用合计</w:t>
            </w:r>
          </w:p>
        </w:tc>
        <w:tc>
          <w:tcPr>
            <w:tcW w:type="dxa" w:w="124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渠道净利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CH01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自营APP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自营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760,324.65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691,728.66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127,671.24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18.5%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725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207,225.94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-79,554.70</w:t>
            </w:r>
          </w:p>
        </w:tc>
      </w:tr>
      <w:tr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CH02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微信小程序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自营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442,021.88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411,486.74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78,941.47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19.2%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645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56,956.11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21,985.36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CH03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天猫旗舰店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平台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2,199,231.91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2,041,902.26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400,018.13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19.6%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2208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703,899.28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-303,881.15</w:t>
            </w:r>
          </w:p>
        </w:tc>
      </w:tr>
      <w:tr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CH04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京东自营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平台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1,231,335.23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1,162,383.18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239,715.94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20.6%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928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308,015.08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-68,299.14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CH05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抖音小店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平台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1,681,209.24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1,563,966.84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320,246.44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20.5%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2262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591,051.26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-270,804.82</w:t>
            </w:r>
          </w:p>
        </w:tc>
      </w:tr>
      <w:tr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CH06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美团闪购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即时零售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253,160.95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238,360.01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48,167.69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20.2%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732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66,452.34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-18,284.65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6,567,283.86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6,109,827.69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1,214,760.91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19.9%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7500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1,933,600.01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-718,839.10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18"/>
        </w:rPr>
        <w:t>注:6 月退款因数据提取时点(2026-06-25)尚不完整,6 月净收入与退款率仅作参考(异常 A-001);上表为含 6 月的 H1 汇总。</w:t>
      </w:r>
    </w:p>
    <w:p>
      <w:pPr>
        <w:pStyle w:val="Heading2"/>
      </w:pPr>
      <w:r>
        <w:t>1.2 渠道费用结构与费用效率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3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渠道</w:t>
            </w:r>
          </w:p>
        </w:tc>
        <w:tc>
          <w:tcPr>
            <w:tcW w:type="dxa" w:w="107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广告费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平台佣金</w:t>
            </w:r>
          </w:p>
        </w:tc>
        <w:tc>
          <w:tcPr>
            <w:tcW w:type="dxa" w:w="96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技术服务费</w:t>
            </w:r>
          </w:p>
        </w:tc>
        <w:tc>
          <w:tcPr>
            <w:tcW w:type="dxa" w:w="96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支付手续费</w:t>
            </w:r>
          </w:p>
        </w:tc>
        <w:tc>
          <w:tcPr>
            <w:tcW w:type="dxa" w:w="96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履约费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包装费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退货售后费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其他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广告费率</w:t>
            </w:r>
          </w:p>
        </w:tc>
        <w:tc>
          <w:tcPr>
            <w:tcW w:type="dxa" w:w="73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投放ROI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销售费用率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CH01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148,801.35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10,517.09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1,774.90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2,280.97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26,611.36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2,878.35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10,610.63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3,751.29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21.5%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1.88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30.0%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CH02</w:t>
            </w:r>
          </w:p>
        </w:tc>
        <w:tc>
          <w:tcPr>
            <w:tcW w:type="dxa" w:w="107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24,492.28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5,746.99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1,163.29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1,326.07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15,470.78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2,317.51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4,748.90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1,690.29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6.0%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4.74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13.8%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CH03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369,674.83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108,660.93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49,544.01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13,195.40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120,957.76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6,581.18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26,714.03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8,571.14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18.1%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2.01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34.5%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CH04</w:t>
            </w:r>
          </w:p>
        </w:tc>
        <w:tc>
          <w:tcPr>
            <w:tcW w:type="dxa" w:w="107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134,260.57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52,425.56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27,958.91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7,388.01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67,723.44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2,512.51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10,853.80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4,892.28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11.6%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3.04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26.5%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CH05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281,881.39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132,900.90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42,084.40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10,087.26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92,466.50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7,499.04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17,847.84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6,283.93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18.0%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1.83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37.8%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CH06</w:t>
            </w:r>
          </w:p>
        </w:tc>
        <w:tc>
          <w:tcPr>
            <w:tcW w:type="dxa" w:w="107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20,571.48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13,283.61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2,471.57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1,265.79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22,784.49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2,586.01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2,230.74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1,258.65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8.6%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2.96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27.9%</w:t>
            </w:r>
          </w:p>
        </w:tc>
      </w:tr>
    </w:tbl>
    <w:p>
      <w:pPr>
        <w:spacing w:after="120"/>
      </w:pPr>
      <w:r>
        <w:rPr>
          <w:rFonts w:ascii="等线" w:hAnsi="等线" w:eastAsia="等线"/>
          <w:b w:val="0"/>
          <w:sz w:val="18"/>
        </w:rPr>
        <w:t>销售费用率=费用合计÷净收入(自定义补充指标,定义见异常 A-011)。平台佣金与技术服务费经按"退款前收入×品类费率"复算,与实际发生额一致(差异≤0.01 元),确认以退款前成交收入为计提基数(策略 7.6 条)。</w:t>
      </w:r>
    </w:p>
    <w:p>
      <w:pPr>
        <w:pStyle w:val="Heading2"/>
      </w:pPr>
      <w:r>
        <w:t>1.3 退款与商品成本对经营结果的影响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退款规模:</w:t>
      </w:r>
      <w:r>
        <w:rPr>
          <w:rFonts w:ascii="等线" w:hAnsi="等线" w:eastAsia="等线"/>
        </w:rPr>
        <w:t>H1 退款合计 457,456.17,综合退款率(退款÷退款前收入)7.0%;退款率最高为自营 APP(9.0%),京东最低(5.6%)。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退款结构:</w:t>
      </w:r>
      <w:r>
        <w:rPr>
          <w:rFonts w:ascii="等线" w:hAnsi="等线" w:eastAsia="等线"/>
        </w:rPr>
        <w:t>自营 APP 质量问题退款 ¥32,380.56、物流损坏 ¥15,945.16,合计占其退款 70.4%;其退款率由 1 月 3.4% 抬升至 5 月 23.3%,致 4 月毛利率 4.8%、5 月 −0.8%(全额退款商品成本不冲回,策略 4.10 条)。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商品成本:</w:t>
      </w:r>
      <w:r>
        <w:rPr>
          <w:rFonts w:ascii="等线" w:hAnsi="等线" w:eastAsia="等线"/>
        </w:rPr>
        <w:t>家电在 5 个渠道净收入中占 40.5%–78.0%,高单价、高商品成本占比(商品成本占收入约 74%–80%)是各渠道毛利率普遍仅约 20% 的结构性原因;平台渠道按 1.2 条均落入 C 级(&lt;25%)。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自营 APP 逐月表现(具体到月份):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24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月份</w:t>
            </w:r>
          </w:p>
        </w:tc>
        <w:tc>
          <w:tcPr>
            <w:tcW w:type="dxa" w:w="136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收入</w:t>
            </w:r>
          </w:p>
        </w:tc>
        <w:tc>
          <w:tcPr>
            <w:tcW w:type="dxa" w:w="124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退款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退款率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毛利率</w:t>
            </w:r>
          </w:p>
        </w:tc>
        <w:tc>
          <w:tcPr>
            <w:tcW w:type="dxa" w:w="136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渠道净利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2026-01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175,791.83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5,913.57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3.4%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23.3%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-12,460.83</w:t>
            </w:r>
          </w:p>
        </w:tc>
      </w:tr>
      <w:tr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2026-02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140,450.58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4,192.05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3.0%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26.3%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-6,912.36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2026-03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131,216.40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14,672.75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11.2%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18.4%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-11,952.08</w:t>
            </w:r>
          </w:p>
        </w:tc>
      </w:tr>
      <w:tr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2026-04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82,167.87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13,759.32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16.7%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4.8%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-20,596.34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2026-05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128,570.96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29,987.69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23.3%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-0.8%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-32,177.15</w:t>
            </w:r>
          </w:p>
        </w:tc>
      </w:tr>
      <w:tr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2026-06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102,127.01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70.61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0.1%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27.7%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4,544.06</w:t>
            </w:r>
          </w:p>
        </w:tc>
      </w:tr>
    </w:tbl>
    <w:p>
      <w:pPr>
        <w:pStyle w:val="Heading2"/>
      </w:pPr>
      <w:r>
        <w:t>1.4 逐渠道诊断与 H2 调整建议</w:t>
      </w:r>
    </w:p>
    <w:p>
      <w:pPr>
        <w:pStyle w:val="Heading3"/>
      </w:pPr>
      <w:r>
        <w:t>CH01 自营 APP —— 方向:维持(效率整改,不收缩渠道)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角色定位:</w:t>
      </w:r>
      <w:r>
        <w:rPr>
          <w:rFonts w:ascii="等线" w:hAnsi="等线" w:eastAsia="等线"/>
          <w:b w:val="0"/>
          <w:sz w:val="21"/>
        </w:rPr>
        <w:t>战略渠道,优先保障资源(策略 1.1);会员自营资产主阵地。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H1 事实:</w:t>
      </w:r>
      <w:r>
        <w:rPr>
          <w:rFonts w:ascii="等线" w:hAnsi="等线" w:eastAsia="等线"/>
          <w:b w:val="0"/>
          <w:sz w:val="21"/>
        </w:rPr>
        <w:t>净收入 691,728.66、毛利率 18.5%;广告费 148,801.35、广告费率 21.5% 均为六渠道最高,投放 ROI 1.88;渠道净利 −¥79,554.70。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建议幅度:</w:t>
      </w:r>
      <w:r>
        <w:rPr>
          <w:rFonts w:ascii="等线" w:hAnsi="等线" w:eastAsia="等线"/>
          <w:b w:val="0"/>
          <w:sz w:val="21"/>
        </w:rPr>
        <w:t>H2 广告费建议 ¥105,000–120,000(较 H1 实际下调约 20%–30%,建议值),其中约 ¥30,000 由外部拉新转投会员留存、复购触达与质量整改;渠道总资源保障地位不变。前提:集团批复预算上限。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预期影响:</w:t>
      </w:r>
      <w:r>
        <w:rPr>
          <w:rFonts w:ascii="等线" w:hAnsi="等线" w:eastAsia="等线"/>
          <w:b w:val="0"/>
          <w:sz w:val="21"/>
        </w:rPr>
        <w:t>销售规模短期或小幅回落,但费用减约 ¥30,000–44,000/半年,质量改善可修复 4–5 月式毛利冲击;会员资产在自有渠道沉淀,长期收入质量提升。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主要风险:</w:t>
      </w:r>
      <w:r>
        <w:rPr>
          <w:rFonts w:ascii="等线" w:hAnsi="等线" w:eastAsia="等线"/>
          <w:b w:val="0"/>
          <w:sz w:val="21"/>
        </w:rPr>
        <w:t>过度削减拉新影响新增会员与规模;需同步解决商品质量与物流损坏问题,否则投放效率不会因减费而改善。</w:t>
      </w:r>
    </w:p>
    <w:p>
      <w:pPr>
        <w:pStyle w:val="Heading3"/>
      </w:pPr>
      <w:r>
        <w:t>CH02 微信小程序 —— 方向:增投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角色定位:</w:t>
      </w:r>
      <w:r>
        <w:rPr>
          <w:rFonts w:ascii="等线" w:hAnsi="等线" w:eastAsia="等线"/>
          <w:b w:val="0"/>
          <w:sz w:val="21"/>
        </w:rPr>
        <w:t>战略渠道(策略 1.1),社交裂变与门店数字化会员的连接器。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H1 事实:</w:t>
      </w:r>
      <w:r>
        <w:rPr>
          <w:rFonts w:ascii="等线" w:hAnsi="等线" w:eastAsia="等线"/>
          <w:b w:val="0"/>
          <w:sz w:val="21"/>
        </w:rPr>
        <w:t>净收入 411,486.74、毛利率 19.2%;广告费率仅 6.0%、投放 ROI 4.74 均为最优;渠道净利 +¥21,985.36 为唯一盈利渠道。49.9% 净收入由到店自提履约。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建议幅度:</w:t>
      </w:r>
      <w:r>
        <w:rPr>
          <w:rFonts w:ascii="等线" w:hAnsi="等线" w:eastAsia="等线"/>
          <w:b w:val="0"/>
          <w:sz w:val="21"/>
        </w:rPr>
        <w:t>H2 广告费建议 ¥37,000–49,000(较 H1 增约 50%–100%,建议值),优先投高毛利品类、老带新裂变与沉睡会员触达。前提:月度投放 ROI 维持 ≥3,且门店自提/发货产能可承接。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预期影响:</w:t>
      </w:r>
      <w:r>
        <w:rPr>
          <w:rFonts w:ascii="等线" w:hAnsi="等线" w:eastAsia="等线"/>
          <w:b w:val="0"/>
          <w:sz w:val="21"/>
        </w:rPr>
        <w:t>在低费率基础上放大规模,预计半年增量支付金额约 ¥5.8 万–11.6 万(按增投额×ROI 口径估算的条件值),同时带动门店客流与自提单量。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主要风险:</w:t>
      </w:r>
      <w:r>
        <w:rPr>
          <w:rFonts w:ascii="等线" w:hAnsi="等线" w:eastAsia="等线"/>
          <w:b w:val="0"/>
          <w:sz w:val="21"/>
        </w:rPr>
        <w:t>自提占比高,增投受门店履约与商圈容量约束;量产后 ROI 回落须设月度止损线。</w:t>
      </w:r>
    </w:p>
    <w:p>
      <w:pPr>
        <w:pStyle w:val="Heading3"/>
      </w:pPr>
      <w:r>
        <w:t>CH03 天猫旗舰店 —— 方向:收缩(结构优化)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角色定位:</w:t>
      </w:r>
      <w:r>
        <w:rPr>
          <w:rFonts w:ascii="等线" w:hAnsi="等线" w:eastAsia="等线"/>
          <w:b w:val="0"/>
          <w:sz w:val="21"/>
        </w:rPr>
        <w:t>平台渠道,H1 毛利率 19.6%&lt;25%,按 1.2 条为 C 级;规模最大的线上入口。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H1 事实:</w:t>
      </w:r>
      <w:r>
        <w:rPr>
          <w:rFonts w:ascii="等线" w:hAnsi="等线" w:eastAsia="等线"/>
          <w:b w:val="0"/>
          <w:sz w:val="21"/>
        </w:rPr>
        <w:t>净收入 2,041,902.26 占六渠道 33.4%;渠道净利 −¥303,881.15 为最大亏损,销售费用率 34.5%;投放 ROI 2.01。会员日/满减活动中 A030(ROI 0.06)、A035(0.17)、A022(0.32) 等多笔低效。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建议幅度:</w:t>
      </w:r>
      <w:r>
        <w:rPr>
          <w:rFonts w:ascii="等线" w:hAnsi="等线" w:eastAsia="等线"/>
          <w:b w:val="0"/>
          <w:sz w:val="21"/>
        </w:rPr>
        <w:t>H2 广告费建议 ¥275,000–300,000(较 H1 ¥369,675 下调约 20%–25%,建议值),退出泛流量拉新,保留直播与节日促销(A015 2.86、A040 3.28、A014 2.06)。前提:集团批复预算上限。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预期影响:</w:t>
      </w:r>
      <w:r>
        <w:rPr>
          <w:rFonts w:ascii="等线" w:hAnsi="等线" w:eastAsia="等线"/>
          <w:b w:val="0"/>
          <w:sz w:val="21"/>
        </w:rPr>
        <w:t>半年减费约 ¥70,000–95,000,渠道亏损相应收窄;规模可能下降 8%–15%(条件性判断),高效活动占比提升带动毛利结构。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主要风险:</w:t>
      </w:r>
      <w:r>
        <w:rPr>
          <w:rFonts w:ascii="等线" w:hAnsi="等线" w:eastAsia="等线"/>
          <w:b w:val="0"/>
          <w:sz w:val="21"/>
        </w:rPr>
        <w:t>平台搜索权重与活动资源位随投放下降,存在规模惯性下滑;需以直播/店铺自运营补位,并跟踪平台规则。</w:t>
      </w:r>
    </w:p>
    <w:p>
      <w:pPr>
        <w:pStyle w:val="Heading3"/>
      </w:pPr>
      <w:r>
        <w:t>CH04 京东自营 —— 方向:维持(择优投放)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角色定位:</w:t>
      </w:r>
      <w:r>
        <w:rPr>
          <w:rFonts w:ascii="等线" w:hAnsi="等线" w:eastAsia="等线"/>
          <w:b w:val="0"/>
          <w:sz w:val="21"/>
        </w:rPr>
        <w:t>平台渠道,毛利率 20.6% 为平台最高,仍为 C 级(1.2);高客单价家电心智渠道。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H1 事实:</w:t>
      </w:r>
      <w:r>
        <w:rPr>
          <w:rFonts w:ascii="等线" w:hAnsi="等线" w:eastAsia="等线"/>
          <w:b w:val="0"/>
          <w:sz w:val="21"/>
        </w:rPr>
        <w:t>净收入 1,162,383.18、客单价 ¥1,253 最高;渠道净利 −¥68,299.14 为平台最小亏损;投放 ROI 3.04;家电占净收入 78.0%。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建议幅度:</w:t>
      </w:r>
      <w:r>
        <w:rPr>
          <w:rFonts w:ascii="等线" w:hAnsi="等线" w:eastAsia="等线"/>
          <w:b w:val="0"/>
          <w:sz w:val="21"/>
        </w:rPr>
        <w:t>H2 广告费建议 ¥130,000–140,000(与 H1 基本持平,建议值),集中于高客单价家电、PLUS 会员场景与高 ROI 会员日(A033 1.68、A034 1.93)。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预期影响:</w:t>
      </w:r>
      <w:r>
        <w:rPr>
          <w:rFonts w:ascii="等线" w:hAnsi="等线" w:eastAsia="等线"/>
          <w:b w:val="0"/>
          <w:sz w:val="21"/>
        </w:rPr>
        <w:t>维持收入基本盘与平台中最小亏损面;结构优化后渠道盈亏平衡具备可能性(条件性,约需增毛利 ¥7 万)。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主要风险:</w:t>
      </w:r>
      <w:r>
        <w:rPr>
          <w:rFonts w:ascii="等线" w:hAnsi="等线" w:eastAsia="等线"/>
          <w:b w:val="0"/>
          <w:sz w:val="21"/>
        </w:rPr>
        <w:t>家电品类单一,受品类价格波动影响;须防止为冲规模重回高费率拉新。</w:t>
      </w:r>
    </w:p>
    <w:p>
      <w:pPr>
        <w:pStyle w:val="Heading3"/>
      </w:pPr>
      <w:r>
        <w:t>CH05 抖音小店 —— 方向:收缩(优化结构,保留会员获取职能)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角色定位:</w:t>
      </w:r>
      <w:r>
        <w:rPr>
          <w:rFonts w:ascii="等线" w:hAnsi="等线" w:eastAsia="等线"/>
          <w:b w:val="0"/>
          <w:sz w:val="21"/>
        </w:rPr>
        <w:t>平台渠道,毛利率 20.5% 为 C 级(1.2);内容种草与新会员获取渠道(H1 带来 413 名注册会员,与天猫并列最多)。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H1 事实:</w:t>
      </w:r>
      <w:r>
        <w:rPr>
          <w:rFonts w:ascii="等线" w:hAnsi="等线" w:eastAsia="等线"/>
          <w:b w:val="0"/>
          <w:sz w:val="21"/>
        </w:rPr>
        <w:t>净收入 1,563,966.84;平台佣金率 7.9%、销售费用率 37.8% 均最高,投放 ROI 1.83 最低,渠道净利 −¥270,804.82。促销端活动加权 ROI 1.35 反而最优。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建议幅度:</w:t>
      </w:r>
      <w:r>
        <w:rPr>
          <w:rFonts w:ascii="等线" w:hAnsi="等线" w:eastAsia="等线"/>
          <w:b w:val="0"/>
          <w:sz w:val="21"/>
        </w:rPr>
        <w:t>H2 广告费建议 ¥210,000–240,000(较 H1 ¥281,881 下调约 15%–25%,建议值),预算由信息流拉新向直播(A003 2.70、A009 2.65)与满减(A024 2.11)迁移,保留内容获客配额。前提:集团批复预算上限。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预期影响:</w:t>
      </w:r>
      <w:r>
        <w:rPr>
          <w:rFonts w:ascii="等线" w:hAnsi="等线" w:eastAsia="等线"/>
          <w:b w:val="0"/>
          <w:sz w:val="21"/>
        </w:rPr>
        <w:t>半年减费约 ¥42,000–72,000;高佣+低效拉新对利润的侵蚀减弱;获客数量可能下降,须以获客质量(后续复购)考核。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主要风险:</w:t>
      </w:r>
      <w:r>
        <w:rPr>
          <w:rFonts w:ascii="等线" w:hAnsi="等线" w:eastAsia="等线"/>
          <w:b w:val="0"/>
          <w:sz w:val="21"/>
        </w:rPr>
        <w:t>内容渠道流量波动大、热点依赖;收缩过快影响会员获取与品牌声量;佣金为平台刚性,无法通过投放调整改变。</w:t>
      </w:r>
    </w:p>
    <w:p>
      <w:pPr>
        <w:pStyle w:val="Heading3"/>
      </w:pPr>
      <w:r>
        <w:t>CH06 美团闪购 —— 方向:维持(限额、重点考核履约)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角色定位:</w:t>
      </w:r>
      <w:r>
        <w:rPr>
          <w:rFonts w:ascii="等线" w:hAnsi="等线" w:eastAsia="等线"/>
          <w:b w:val="0"/>
          <w:sz w:val="21"/>
        </w:rPr>
        <w:t>即时零售渠道,定位履约补充(策略 1.3),重点考核履约成本与时效。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H1 事实:</w:t>
      </w:r>
      <w:r>
        <w:rPr>
          <w:rFonts w:ascii="等线" w:hAnsi="等线" w:eastAsia="等线"/>
          <w:b w:val="0"/>
          <w:sz w:val="21"/>
        </w:rPr>
        <w:t>净收入 238,360.01、毛利率 20.2%;74.7% 净收入来自即时配送,履约费率 9.6% 最高;渠道净利 −¥18,284.65;投放 ROI 2.96,但会员日 A031 ROI 仅 0.31。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建议幅度:</w:t>
      </w:r>
      <w:r>
        <w:rPr>
          <w:rFonts w:ascii="等线" w:hAnsi="等线" w:eastAsia="等线"/>
          <w:b w:val="0"/>
          <w:sz w:val="21"/>
        </w:rPr>
        <w:t>H2 广告费建议 ¥18,000–22,000(与 H1 持平,建议值),设定单量与履约成本上限,不以重促销冲量。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预期影响:</w:t>
      </w:r>
      <w:r>
        <w:rPr>
          <w:rFonts w:ascii="等线" w:hAnsi="等线" w:eastAsia="等线"/>
          <w:b w:val="0"/>
          <w:sz w:val="21"/>
        </w:rPr>
        <w:t>守住即时履约补充能力;若履约费率由 9.6% 降至 8% 以内,渠道可接近盈亏平衡(条件性)。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主要风险:</w:t>
      </w:r>
      <w:r>
        <w:rPr>
          <w:rFonts w:ascii="等线" w:hAnsi="等线" w:eastAsia="等线"/>
          <w:b w:val="0"/>
          <w:sz w:val="21"/>
        </w:rPr>
        <w:t>即时配送履约刚性成本高、补贴依赖;天气/高峰时段波动;须与门店作为履约节点的排班协同(异常 A-006 同口径问题)。</w:t>
      </w:r>
    </w:p>
    <w:p>
      <w:pPr>
        <w:pStyle w:val="Heading2"/>
      </w:pPr>
      <w:r>
        <w:t>1.5 渠道调整汇总与协同影响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147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81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H1广告费(实际)</w:t>
            </w:r>
          </w:p>
        </w:tc>
        <w:tc>
          <w:tcPr>
            <w:tcW w:type="dxa" w:w="204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H2建议广告费(建议值)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幅度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CH01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维持(效率整改)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148,801.35(H1实际)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105,000–120,000(H2建议)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−20%–30%</w:t>
            </w:r>
          </w:p>
        </w:tc>
      </w:tr>
      <w:tr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CH02</w:t>
            </w:r>
          </w:p>
        </w:tc>
        <w:tc>
          <w:tcPr>
            <w:tcW w:type="dxa" w:w="147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增投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24,492.28(H1实际)</w:t>
            </w:r>
          </w:p>
        </w:tc>
        <w:tc>
          <w:tcPr>
            <w:tcW w:type="dxa" w:w="204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37,000–49,000(H2建议)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+50%–100%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收缩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369,674.83(H1实际)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275,000–300,000(H2建议)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−20%–25%</w:t>
            </w:r>
          </w:p>
        </w:tc>
      </w:tr>
      <w:tr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CH04</w:t>
            </w:r>
          </w:p>
        </w:tc>
        <w:tc>
          <w:tcPr>
            <w:tcW w:type="dxa" w:w="147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维持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134,260.57(H1实际)</w:t>
            </w:r>
          </w:p>
        </w:tc>
        <w:tc>
          <w:tcPr>
            <w:tcW w:type="dxa" w:w="204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130,000–140,000(H2建议)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基本持平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CH05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收缩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281,881.39(H1实际)</w:t>
            </w:r>
          </w:p>
        </w:tc>
        <w:tc>
          <w:tcPr>
            <w:tcW w:type="dxa" w:w="204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210,000–240,000(H2建议)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−15%–25%</w:t>
            </w:r>
          </w:p>
        </w:tc>
      </w:tr>
      <w:tr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CH06</w:t>
            </w:r>
          </w:p>
        </w:tc>
        <w:tc>
          <w:tcPr>
            <w:tcW w:type="dxa" w:w="147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维持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20,571.48(H1实际)</w:t>
            </w:r>
          </w:p>
        </w:tc>
        <w:tc>
          <w:tcPr>
            <w:tcW w:type="dxa" w:w="204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18,000–22,000(H2建议)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基本持平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21"/>
        </w:rPr>
        <w:t>协同影响:增投小程序与收缩平台同步实施,把会员从平台触点向自有渠道迁移,降低长期佣金依赖;快递订单(中心仓)不占门店资源,门店发货与自提单量随小程序增长而上升,需同步评估门店履约包装与人力负荷;美团限额不影响其他渠道即时配送订单现状(该口径待确认,异常 A-006)。H2 建议广告费合计 ¥775,000–871,000,较 H1 实际 ¥979,682 结构性下降约 11%–21%;所有建议值以集团批复预算上限为前提。</w:t>
      </w:r>
    </w:p>
    <w:p>
      <w:r>
        <w:br w:type="page"/>
      </w:r>
    </w:p>
    <w:p>
      <w:pPr>
        <w:pStyle w:val="Heading1"/>
      </w:pPr>
      <w:r>
        <w:t>第 2 章 门店经营诊断、分级与调整建议</w:t>
      </w:r>
    </w:p>
    <w:p>
      <w:pPr>
        <w:spacing w:after="160"/>
      </w:pPr>
      <w:r>
        <w:rPr>
          <w:rFonts w:ascii="等线" w:hAnsi="等线" w:eastAsia="等线"/>
          <w:b w:val="0"/>
          <w:sz w:val="21"/>
        </w:rPr>
        <w:t>口径:到店销售额、毛利额取《2026H1门店经营台账.xlsx·门店月度经营》;租金取《门店费用》"租金及物业费"(=合同月租金+物业费,42 店与《华东区门店租约汇总》合同基数逐店核对一致);门店 O2O 履约贡献按《渠道销售明细》"门店发货+到店自提"订单净收入聚合,与台账"门店O2O履约贡献"逐月逐店核对一致(策略 3.5 条)。坪效=月均到店销售额÷营业面积;租售比=月均租金÷月均到店销售额(策略 2.1)。</w:t>
      </w:r>
      <w:r>
        <w:rPr>
          <w:rFonts w:ascii="等线" w:hAnsi="等线" w:eastAsia="等线"/>
          <w:sz w:val="19"/>
        </w:rPr>
        <w:t>另:材料不提供 O2O 订单的门店毛利,门店经营收益仅反映到店业务(异常 A-013)。</w:t>
      </w:r>
    </w:p>
    <w:p>
      <w:pPr>
        <w:pStyle w:val="Heading2"/>
      </w:pPr>
      <w:r>
        <w:t>2.1 全量 42 店分级结果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门店ID</w:t>
            </w:r>
          </w:p>
        </w:tc>
        <w:tc>
          <w:tcPr>
            <w:tcW w:type="dxa" w:w="68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城市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店型</w:t>
            </w:r>
          </w:p>
        </w:tc>
        <w:tc>
          <w:tcPr>
            <w:tcW w:type="dxa" w:w="73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面积㎡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坪效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租售比</w:t>
            </w:r>
          </w:p>
        </w:tc>
        <w:tc>
          <w:tcPr>
            <w:tcW w:type="dxa" w:w="56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分级</w:t>
            </w:r>
          </w:p>
        </w:tc>
        <w:tc>
          <w:tcPr>
            <w:tcW w:type="dxa" w:w="136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6"/>
              </w:rPr>
              <w:t>调整建议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S001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杭州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135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2376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15.3%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S002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上海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85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2972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21.6%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S003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宁波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5280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6.8%</w:t>
            </w:r>
          </w:p>
        </w:tc>
        <w:tc>
          <w:tcPr>
            <w:tcW w:type="dxa" w:w="567"/>
            <w:shd w:val="clear" w:fill="C6E0B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S004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苏州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96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2007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16.5%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S005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苏州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3471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17.2%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S006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南京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81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3802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8.4%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S007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杭州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2420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13.6%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S008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杭州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旗舰店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5937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8.5%</w:t>
            </w:r>
          </w:p>
        </w:tc>
        <w:tc>
          <w:tcPr>
            <w:tcW w:type="dxa" w:w="567"/>
            <w:shd w:val="clear" w:fill="EEF2F9"/>
            <w:shd w:val="clear" w:fill="C6E0B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A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S009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无锡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3234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6.4%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S010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上海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145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2168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25.7%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S011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上海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110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4179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6.9%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S012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杭州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93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1980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37.8%</w:t>
            </w:r>
          </w:p>
        </w:tc>
        <w:tc>
          <w:tcPr>
            <w:tcW w:type="dxa" w:w="56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D</w:t>
            </w:r>
          </w:p>
        </w:tc>
        <w:tc>
          <w:tcPr>
            <w:tcW w:type="dxa" w:w="1361"/>
            <w:shd w:val="clear" w:fill="EEF2F9"/>
            <w:shd w:val="clear" w:fill="FCE4D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转前置仓/自提点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S013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苏州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185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2042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20.1%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S014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苏州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102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2991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10.0%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S015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上海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128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2473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7.7%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S016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苏州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226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1627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28.5%</w:t>
            </w:r>
          </w:p>
        </w:tc>
        <w:tc>
          <w:tcPr>
            <w:tcW w:type="dxa" w:w="567"/>
            <w:shd w:val="clear" w:fill="EEF2F9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S017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无锡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102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1298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43.4%</w:t>
            </w:r>
          </w:p>
        </w:tc>
        <w:tc>
          <w:tcPr>
            <w:tcW w:type="dxa" w:w="56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D</w:t>
            </w:r>
          </w:p>
        </w:tc>
        <w:tc>
          <w:tcPr>
            <w:tcW w:type="dxa" w:w="1361"/>
            <w:shd w:val="clear" w:fill="FCE4D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闭店评估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S018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华东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苏州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111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4631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8.4%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S019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福州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94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3375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8.3%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S020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南宁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136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2492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31.3%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S021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厦门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2347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9.8%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S022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广州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74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3659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20.5%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S023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深圳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823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64.8%</w:t>
            </w:r>
          </w:p>
        </w:tc>
        <w:tc>
          <w:tcPr>
            <w:tcW w:type="dxa" w:w="56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D</w:t>
            </w:r>
          </w:p>
        </w:tc>
        <w:tc>
          <w:tcPr>
            <w:tcW w:type="dxa" w:w="1361"/>
            <w:shd w:val="clear" w:fill="FCE4D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转前置仓/自提点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S024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福州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111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2957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17.4%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S025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厦门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72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2675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7.2%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S026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厦门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103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1901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24.3%</w:t>
            </w:r>
          </w:p>
        </w:tc>
        <w:tc>
          <w:tcPr>
            <w:tcW w:type="dxa" w:w="567"/>
            <w:shd w:val="clear" w:fill="EEF2F9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S027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深圳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102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4902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15.0%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S028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深圳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1991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36.8%</w:t>
            </w:r>
          </w:p>
        </w:tc>
        <w:tc>
          <w:tcPr>
            <w:tcW w:type="dxa" w:w="56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D</w:t>
            </w:r>
          </w:p>
        </w:tc>
        <w:tc>
          <w:tcPr>
            <w:tcW w:type="dxa" w:w="1361"/>
            <w:shd w:val="clear" w:fill="EEF2F9"/>
            <w:shd w:val="clear" w:fill="FCE4D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整改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S029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厦门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旗舰店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251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539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138.8%</w:t>
            </w:r>
          </w:p>
        </w:tc>
        <w:tc>
          <w:tcPr>
            <w:tcW w:type="dxa" w:w="56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D</w:t>
            </w:r>
          </w:p>
        </w:tc>
        <w:tc>
          <w:tcPr>
            <w:tcW w:type="dxa" w:w="1361"/>
            <w:shd w:val="clear" w:fill="FCE4D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闭店评估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S030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广州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126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2756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9.6%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S031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北京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旗舰店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64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2808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27.2%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S032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青岛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135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2103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29.5%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S033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北京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前置仓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198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1790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42.0%</w:t>
            </w:r>
          </w:p>
        </w:tc>
        <w:tc>
          <w:tcPr>
            <w:tcW w:type="dxa" w:w="56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D</w:t>
            </w:r>
          </w:p>
        </w:tc>
        <w:tc>
          <w:tcPr>
            <w:tcW w:type="dxa" w:w="1361"/>
            <w:shd w:val="clear" w:fill="FCE4D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整改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S034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济南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231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578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132.3%</w:t>
            </w:r>
          </w:p>
        </w:tc>
        <w:tc>
          <w:tcPr>
            <w:tcW w:type="dxa" w:w="56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D</w:t>
            </w:r>
          </w:p>
        </w:tc>
        <w:tc>
          <w:tcPr>
            <w:tcW w:type="dxa" w:w="1361"/>
            <w:shd w:val="clear" w:fill="EEF2F9"/>
            <w:shd w:val="clear" w:fill="FCE4D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转前置仓/自提点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S035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济南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3853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5.6%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S036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石家庄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旗舰店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103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1952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29.7%</w:t>
            </w:r>
          </w:p>
        </w:tc>
        <w:tc>
          <w:tcPr>
            <w:tcW w:type="dxa" w:w="567"/>
            <w:shd w:val="clear" w:fill="EEF2F9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C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S037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济南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社区店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2710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22.0%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S038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北京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76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3625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12.1%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S039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青岛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118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2521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15.2%</w:t>
            </w:r>
          </w:p>
        </w:tc>
        <w:tc>
          <w:tcPr>
            <w:tcW w:type="dxa" w:w="567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S040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石家庄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旗舰店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84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3614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5.9%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S041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北京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111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5209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4.5%</w:t>
            </w:r>
          </w:p>
        </w:tc>
        <w:tc>
          <w:tcPr>
            <w:tcW w:type="dxa" w:w="567"/>
            <w:shd w:val="clear" w:fill="C6E0B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A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  <w:tr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S042</w:t>
            </w:r>
          </w:p>
        </w:tc>
        <w:tc>
          <w:tcPr>
            <w:tcW w:type="dxa" w:w="68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华北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青岛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标准店</w:t>
            </w:r>
          </w:p>
        </w:tc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3278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15.4%</w:t>
            </w:r>
          </w:p>
        </w:tc>
        <w:tc>
          <w:tcPr>
            <w:tcW w:type="dxa" w:w="567"/>
            <w:shd w:val="clear" w:fill="EEF2F9"/>
            <w:shd w:val="clear" w:fill="DDEBF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B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维持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18"/>
        </w:rPr>
        <w:t>分级标准(策略 2.2/2.3):坪效 A≥5000、B 2000–5000、C 1000–2000、D&lt;1000(元/㎡/月);租售比&gt;35% 直接列 D。结果:A 3 家、B 29 家、C 3 家、D 7 家。S006、S013、S031 面积已调整,坪效按当前面积计算口径可能失真,已标"待补"且不参与排序(异常 A-002),其中 S013 当前值 2042 贴近 B/C 阈值,核后可能降为 C。</w:t>
      </w:r>
    </w:p>
    <w:p>
      <w:pPr>
        <w:pStyle w:val="Heading2"/>
      </w:pPr>
      <w:r>
        <w:t>2.2 连续月度判定:具体门店与具体月份(策略 6.3)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门店ID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1月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2月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3月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4月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5月</w:t>
            </w:r>
          </w:p>
        </w:tc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6月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连续6月D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S012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B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B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S017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S023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S028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B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B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B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S029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是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S033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B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B</w:t>
            </w:r>
          </w:p>
        </w:tc>
        <w:tc>
          <w:tcPr>
            <w:tcW w:type="dxa" w:w="850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否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S034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850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D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  <w:r>
        <w:rPr>
          <w:rFonts w:ascii="等线" w:hAnsi="等线" w:eastAsia="等线"/>
          <w:b/>
          <w:sz w:val="21"/>
        </w:rPr>
        <w:t>租售比逐月值(&gt;35% 高亮):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门店ID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1月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2月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3月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4月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5月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6月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最长连续超标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S012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46.5%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34.4%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32.4%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38.2%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39.5%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38.8%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3个月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S017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42.4%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38.9%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42.2%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53.5%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43.5%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42.6%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6个月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S023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50.8%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88.9%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60.8%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53.4%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100.3%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60.5%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6个月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S028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34.6%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33.8%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40.6%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43.9%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35.3%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34.8%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3个月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S029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177.1%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173.0%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168.5%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236.7%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91.9%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93.0%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6个月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S033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52.1%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43.6%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33.0%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54.1%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34.1%</w:t>
            </w:r>
          </w:p>
        </w:tc>
        <w:tc>
          <w:tcPr>
            <w:tcW w:type="dxa" w:w="907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44.4%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2个月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S034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108.9%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97.1%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182.5%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131.4%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131.8%</w:t>
            </w:r>
          </w:p>
        </w:tc>
        <w:tc>
          <w:tcPr>
            <w:tcW w:type="dxa" w:w="907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192.1%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6个月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19"/>
        </w:rPr>
        <w:t>判定结论(逐月计算,非半年均值):①S017、S029 连续 6 个月 D 级且租售比 6 个月全部超标;②S023、S034 连续 6 个月 D、租售比 6 个月全部超标;③S012 在 4/5/6 月连续 3 个月超标(38.2%/39.5%/38.8%),1 月单月超标但 2–3 月回落;④S028 在 3/4/5 月连续 3 个月超标,6 月回落至 B;⑤S033 有 4 个月超标但最长连续仅 2 个月(1–2 月),未触发转换条件。</w:t>
      </w:r>
    </w:p>
    <w:p>
      <w:pPr>
        <w:pStyle w:val="Heading2"/>
      </w:pPr>
      <w:r>
        <w:t>2.3 闭店评估:S029、S017(满足 6.1 条,时间最紧迫)</w:t>
      </w:r>
    </w:p>
    <w:p>
      <w:pPr>
        <w:pStyle w:val="Heading3"/>
      </w:pPr>
      <w:r>
        <w:t>S029(华南·厦门·旗舰店)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证据:</w:t>
      </w:r>
      <w:r>
        <w:rPr>
          <w:rFonts w:ascii="等线" w:hAnsi="等线" w:eastAsia="等线"/>
          <w:b w:val="0"/>
          <w:sz w:val="21"/>
        </w:rPr>
        <w:t>租期 2026-09-25 到期(不晚于 2026-12-31)且 1–6 月连续 6 个月 D 级;H1 到店销售 ¥811,660、租售比月均 138.8%,门店经营收益 −¥1,040,350 为全集团最大亏损;O2O 履约贡献 ¥52,375。</w:t>
      </w:r>
    </w:p>
    <w:p>
      <w:pPr>
        <w:spacing w:after="120"/>
      </w:pPr>
      <w:r>
        <w:rPr>
          <w:rFonts w:ascii="等线" w:hAnsi="等线" w:eastAsia="等线"/>
          <w:b/>
          <w:sz w:val="21"/>
        </w:rPr>
        <w:t>处置建议:</w:t>
      </w:r>
      <w:r>
        <w:rPr>
          <w:rFonts w:ascii="等线" w:hAnsi="等线" w:eastAsia="等线"/>
          <w:b w:val="0"/>
          <w:sz w:val="21"/>
        </w:rPr>
        <w:t>立即核实续约状态;若不续约,即刻发出到期不续约书面通知并启动员工、会员、库存与资产处置预案;9 月 25 日完成闭店。合同闭店违约金 ¥426,887.23 适用于提前解约,到期不续约无需支付;会员须提前 60 天向周边门店与线上渠道迁移。</w:t>
      </w:r>
    </w:p>
    <w:p>
      <w:pPr>
        <w:pStyle w:val="Heading3"/>
      </w:pPr>
      <w:r>
        <w:t>S017(华东·无锡·社区店)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证据:</w:t>
      </w:r>
      <w:r>
        <w:rPr>
          <w:rFonts w:ascii="等线" w:hAnsi="等线" w:eastAsia="等线"/>
          <w:b w:val="0"/>
          <w:sz w:val="21"/>
        </w:rPr>
        <w:t>租期 2026-11-17 到期且连续 6 个月 D 级;H1 到店销售 ¥794,339、租售比月均 43.4%,经营收益 −¥263,268;O2O 履约贡献 ¥66,870。</w:t>
      </w:r>
    </w:p>
    <w:p>
      <w:pPr>
        <w:spacing w:after="120"/>
      </w:pPr>
      <w:r>
        <w:rPr>
          <w:rFonts w:ascii="等线" w:hAnsi="等线" w:eastAsia="等线"/>
          <w:b/>
          <w:sz w:val="21"/>
        </w:rPr>
        <w:t>处置建议:</w:t>
      </w:r>
      <w:r>
        <w:rPr>
          <w:rFonts w:ascii="等线" w:hAnsi="等线" w:eastAsia="等线"/>
          <w:b w:val="0"/>
          <w:sz w:val="21"/>
        </w:rPr>
        <w:t>先核实续约状态;不续约则须于 8 月 19 日前(提前 90 天)发出书面通知,11 月 17 日完成闭店;提前解约违约金 ¥263,319.91,到期不续约可免。参照《旧版门店清单》,本区域 2024 年已有 8 店平稳退出,处置流程可复用。</w:t>
      </w:r>
      <w:r>
        <w:rPr>
          <w:rFonts w:ascii="等线" w:hAnsi="等线" w:eastAsia="等线"/>
          <w:sz w:val="19"/>
        </w:rPr>
        <w:t>(异常 A-015)</w:t>
      </w:r>
    </w:p>
    <w:p>
      <w:pPr>
        <w:pStyle w:val="Heading2"/>
      </w:pPr>
      <w:r>
        <w:t>2.4 转前置仓或自提点:S023、S034、S012(满足 6.2 条)</w:t>
      </w:r>
    </w:p>
    <w:p>
      <w:pPr>
        <w:pStyle w:val="Heading3"/>
      </w:pPr>
      <w:r>
        <w:t>S023(华南·深圳·前置仓)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证据:</w:t>
      </w:r>
      <w:r>
        <w:rPr>
          <w:rFonts w:ascii="等线" w:hAnsi="等线" w:eastAsia="等线"/>
          <w:b w:val="0"/>
          <w:sz w:val="21"/>
        </w:rPr>
        <w:t>租售比 1–6 月连续 6 个月 &gt;35%(月均 64.8%)、连续 6 个月 D;H1 经营收益 −¥330,519;租期至 2027-04-26。</w:t>
      </w:r>
    </w:p>
    <w:p>
      <w:pPr>
        <w:spacing w:after="120"/>
      </w:pPr>
      <w:r>
        <w:rPr>
          <w:rFonts w:ascii="等线" w:hAnsi="等线" w:eastAsia="等线"/>
          <w:b/>
          <w:sz w:val="21"/>
        </w:rPr>
        <w:t>处置建议:</w:t>
      </w:r>
      <w:r>
        <w:rPr>
          <w:rFonts w:ascii="等线" w:hAnsi="等线" w:eastAsia="等线"/>
          <w:b w:val="0"/>
          <w:sz w:val="21"/>
        </w:rPr>
        <w:t>H2 转为前置仓/自提点:压缩营业面积与到店陈列、保留门店发货与自提功能;与出租方重议面积与租金。提前闭店违约金 ¥355,458.24,转换可在不触发违约金的前提下止损,改造投入须与半年减亏额比较后审批;9 月底前完成切换。</w:t>
      </w:r>
    </w:p>
    <w:p>
      <w:pPr>
        <w:pStyle w:val="Heading3"/>
      </w:pPr>
      <w:r>
        <w:t>S034(华北·济南·社区店)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证据:</w:t>
      </w:r>
      <w:r>
        <w:rPr>
          <w:rFonts w:ascii="等线" w:hAnsi="等线" w:eastAsia="等线"/>
          <w:b w:val="0"/>
          <w:sz w:val="21"/>
        </w:rPr>
        <w:t>租售比 6 个月连续 &gt;35%(月均 132.3%)、连续 6 个月 D;H1 经营收益 −¥1,018,250;2024 年旧清单已标"调整",前期干预未奏效;租期至 2028-03-02。</w:t>
      </w:r>
    </w:p>
    <w:p>
      <w:pPr>
        <w:spacing w:after="120"/>
      </w:pPr>
      <w:r>
        <w:rPr>
          <w:rFonts w:ascii="等线" w:hAnsi="等线" w:eastAsia="等线"/>
          <w:b/>
          <w:sz w:val="21"/>
        </w:rPr>
        <w:t>处置建议:</w:t>
      </w:r>
      <w:r>
        <w:rPr>
          <w:rFonts w:ascii="等线" w:hAnsi="等线" w:eastAsia="等线"/>
          <w:b w:val="0"/>
          <w:sz w:val="21"/>
        </w:rPr>
        <w:t>转前置仓/自提点,停止到店零售扩张;违约金 ¥523,885.13 使闭店代价高,转换为更优路径;结合其 O2O 贡献 ¥96,239 保留履约节点功能。</w:t>
      </w:r>
    </w:p>
    <w:p>
      <w:pPr>
        <w:pStyle w:val="Heading3"/>
      </w:pPr>
      <w:r>
        <w:t>S012(华东·苏州·前置仓)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证据:</w:t>
      </w:r>
      <w:r>
        <w:rPr>
          <w:rFonts w:ascii="等线" w:hAnsi="等线" w:eastAsia="等线"/>
          <w:b w:val="0"/>
          <w:sz w:val="21"/>
        </w:rPr>
        <w:t>租售比 4/5/6 月连续 3 个月 &gt;35%;H1 经营收益 −¥278,338;租期至 2028-11-19。</w:t>
      </w:r>
    </w:p>
    <w:p>
      <w:pPr>
        <w:spacing w:after="120"/>
      </w:pPr>
      <w:r>
        <w:rPr>
          <w:rFonts w:ascii="等线" w:hAnsi="等线" w:eastAsia="等线"/>
          <w:b/>
          <w:sz w:val="21"/>
        </w:rPr>
        <w:t>处置建议:</w:t>
      </w:r>
      <w:r>
        <w:rPr>
          <w:rFonts w:ascii="等线" w:hAnsi="等线" w:eastAsia="等线"/>
          <w:b w:val="0"/>
          <w:sz w:val="21"/>
        </w:rPr>
        <w:t>店型已为前置仓,建议进一步压缩为纯自提点/前置仓并按缩减面积重议租金,同步做品类精简;违约金 ¥328,558.62、剩余租期长,闭店不经济,转换+租金重议为主方案。</w:t>
      </w:r>
    </w:p>
    <w:p>
      <w:pPr>
        <w:pStyle w:val="Heading2"/>
      </w:pPr>
      <w:r>
        <w:t>2.5 整改:S028、S033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S028:</w:t>
      </w:r>
      <w:r>
        <w:rPr>
          <w:rFonts w:ascii="等线" w:hAnsi="等线" w:eastAsia="等线"/>
        </w:rPr>
        <w:t>3/4/5 月租售比连续 &gt;35%(已满足 6.2 条件),但 6 月回落至 B、毛利修复;H1 亏损 ¥386,659。建议列 D 级整改:90 天改善期(7–9 月),逐月核算租售比与坪效,若 Q3 再次出现连续 3 个月 &gt;35%,立即按 6.2 条转换;剩余租约至 2032-11-25、违约金 ¥407,080.16,当期即闭店代价过高。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S033:</w:t>
      </w:r>
      <w:r>
        <w:rPr>
          <w:rFonts w:ascii="等线" w:hAnsi="等线" w:eastAsia="等线"/>
        </w:rPr>
        <w:t>H1 分级 D、亏损 ¥534,380,1/2/4/6 月租售比 &gt;35% 但最长连续 2 个月,未触发 6.2。建议限期整改并重议租金,连续 3 个月超标即转换;租期至 2027-05-13、违约金 ¥756,067.53。</w:t>
      </w:r>
    </w:p>
    <w:p>
      <w:pPr>
        <w:pStyle w:val="Heading2"/>
      </w:pPr>
      <w:r>
        <w:t>2.6 其余门店:维持与重点观察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C 级 3 家:</w:t>
      </w:r>
      <w:r>
        <w:rPr>
          <w:rFonts w:ascii="等线" w:hAnsi="等线" w:eastAsia="等线"/>
        </w:rPr>
        <w:t>S016、S026、S036 为 C 级,均未出现 D 级月份,按策略不属强制整改对象;三店 H1 分别亏损 ¥193,278/¥156,166/¥154,522,其中 S016 租售比由 25.9% 升至 33.1%、S036 6 月 34.0%。列重点观察名单,每月跟踪,出现 D 级月或租售比 &gt;35% 即升级处置。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B 级亏损店:</w:t>
      </w:r>
      <w:r>
        <w:rPr>
          <w:rFonts w:ascii="等线" w:hAnsi="等线" w:eastAsia="等线"/>
        </w:rPr>
        <w:t>S010(−¥113,632)、S020(−¥308,875)、S032(−¥183,806)、S037(−¥165,985)等 B 级亏损门店维持业态,以费用压降、租金重议和品类毛利改善为主;S020 1 月单月租售比 42.7%、S032 1/4 月单月超标,须防止发展为连续超标。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A 级 3 家:</w:t>
      </w:r>
      <w:r>
        <w:rPr>
          <w:rFonts w:ascii="等线" w:hAnsi="等线" w:eastAsia="等线"/>
        </w:rPr>
        <w:t>S003、S008、S041 三家 A 级门店 H1 合计经营收益 +¥1,191,262,维持资源保障,作为会员活动与新品首发主阵地。</w:t>
      </w:r>
    </w:p>
    <w:p>
      <w:pPr>
        <w:pStyle w:val="Heading2"/>
      </w:pPr>
      <w:r>
        <w:t>2.7 租约约束与处置成本一览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85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门店ID</w:t>
            </w:r>
          </w:p>
        </w:tc>
        <w:tc>
          <w:tcPr>
            <w:tcW w:type="dxa" w:w="124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租期结束</w:t>
            </w:r>
          </w:p>
        </w:tc>
        <w:tc>
          <w:tcPr>
            <w:tcW w:type="dxa" w:w="136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合同月租金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物业费</w:t>
            </w:r>
          </w:p>
        </w:tc>
        <w:tc>
          <w:tcPr>
            <w:tcW w:type="dxa" w:w="136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递增条款</w:t>
            </w:r>
          </w:p>
        </w:tc>
        <w:tc>
          <w:tcPr>
            <w:tcW w:type="dxa" w:w="147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闭店违约金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S012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2028-11-19</w:t>
            </w:r>
          </w:p>
        </w:tc>
        <w:tc>
          <w:tcPr>
            <w:tcW w:type="dxa" w:w="136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62,147.66</w:t>
            </w:r>
          </w:p>
        </w:tc>
        <w:tc>
          <w:tcPr>
            <w:tcW w:type="dxa" w:w="113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7,457.72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 xml:space="preserve"> 每两年递增8%</w:t>
            </w:r>
          </w:p>
        </w:tc>
        <w:tc>
          <w:tcPr>
            <w:tcW w:type="dxa" w:w="147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328,558.62</w:t>
            </w:r>
          </w:p>
        </w:tc>
      </w:tr>
      <w:tr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S017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2026-11-17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51,352.81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6,162.34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 xml:space="preserve"> 每两年递增8%</w:t>
            </w:r>
          </w:p>
        </w:tc>
        <w:tc>
          <w:tcPr>
            <w:tcW w:type="dxa" w:w="147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263,319.91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2027-04-26</w:t>
            </w:r>
          </w:p>
        </w:tc>
        <w:tc>
          <w:tcPr>
            <w:tcW w:type="dxa" w:w="136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61,389.26</w:t>
            </w:r>
          </w:p>
        </w:tc>
        <w:tc>
          <w:tcPr>
            <w:tcW w:type="dxa" w:w="113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7,366.71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 xml:space="preserve"> 每年递增5%</w:t>
            </w:r>
          </w:p>
        </w:tc>
        <w:tc>
          <w:tcPr>
            <w:tcW w:type="dxa" w:w="147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355,458.24</w:t>
            </w:r>
          </w:p>
        </w:tc>
      </w:tr>
      <w:tr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S028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2032-11-25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116,496.24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13,979.55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 xml:space="preserve"> 无</w:t>
            </w:r>
          </w:p>
        </w:tc>
        <w:tc>
          <w:tcPr>
            <w:tcW w:type="dxa" w:w="147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407,080.16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S029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2026-09-25</w:t>
            </w:r>
          </w:p>
        </w:tc>
        <w:tc>
          <w:tcPr>
            <w:tcW w:type="dxa" w:w="136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167,682.50</w:t>
            </w:r>
          </w:p>
        </w:tc>
        <w:tc>
          <w:tcPr>
            <w:tcW w:type="dxa" w:w="113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20,121.90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 xml:space="preserve"> 每年递增5%</w:t>
            </w:r>
          </w:p>
        </w:tc>
        <w:tc>
          <w:tcPr>
            <w:tcW w:type="dxa" w:w="147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426,887.23</w:t>
            </w:r>
          </w:p>
        </w:tc>
      </w:tr>
      <w:tr>
        <w:tc>
          <w:tcPr>
            <w:tcW w:type="dxa" w:w="85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S033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2027-05-13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133,013.23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15,961.59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 xml:space="preserve"> 每年递增5%</w:t>
            </w:r>
          </w:p>
        </w:tc>
        <w:tc>
          <w:tcPr>
            <w:tcW w:type="dxa" w:w="147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756,067.53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S034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2028-03-02</w:t>
            </w:r>
          </w:p>
        </w:tc>
        <w:tc>
          <w:tcPr>
            <w:tcW w:type="dxa" w:w="136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157,574.90</w:t>
            </w:r>
          </w:p>
        </w:tc>
        <w:tc>
          <w:tcPr>
            <w:tcW w:type="dxa" w:w="113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18,908.99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 xml:space="preserve"> 每年递增3%</w:t>
            </w:r>
          </w:p>
        </w:tc>
        <w:tc>
          <w:tcPr>
            <w:tcW w:type="dxa" w:w="147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523,885.13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18"/>
        </w:rPr>
        <w:t>说明:H1 内 42 店台账"租金及物业费"与合同月租金+物业费完全一致;H2 受年度递增影响的金额须另行测算(异常 A-003)。S029、S017 属到期处置,原则上不发生违约金;S023/S034/S012 以业态转换替代提前闭店,规避上表违约金。</w:t>
      </w:r>
    </w:p>
    <w:p>
      <w:r>
        <w:br w:type="page"/>
      </w:r>
    </w:p>
    <w:p>
      <w:pPr>
        <w:pStyle w:val="Heading1"/>
      </w:pPr>
      <w:r>
        <w:t>第 3 章 促销组合效果评估与 H2 节奏建议</w:t>
      </w:r>
    </w:p>
    <w:p>
      <w:pPr>
        <w:spacing w:after="160"/>
      </w:pPr>
      <w:r>
        <w:rPr>
          <w:rFonts w:ascii="等线" w:hAnsi="等线" w:eastAsia="等线"/>
          <w:b w:val="0"/>
          <w:sz w:val="21"/>
        </w:rPr>
        <w:t>口径:活动实际费用、增量销售额、增量毛利与 ROI 取《2026H1促销活动记录.xlsx·活动效果》;ROI=增量毛利÷实际费用(策略 7.1),50 个活动复算与表内值一致;活动价均高于单位成本,未触发 7.4 条限制。</w:t>
      </w:r>
      <w:r>
        <w:rPr>
          <w:rFonts w:ascii="等线" w:hAnsi="等线" w:eastAsia="等线"/>
        </w:rPr>
        <w:t>31 个季节性 SKU 因材料未定义适销期,其销售月份未作核验(异常 A-008)。</w:t>
      </w:r>
    </w:p>
    <w:p>
      <w:pPr>
        <w:pStyle w:val="Heading2"/>
      </w:pPr>
      <w:r>
        <w:t>3.1 活动类型分布与投入产出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活动类型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活动数</w:t>
            </w:r>
          </w:p>
        </w:tc>
        <w:tc>
          <w:tcPr>
            <w:tcW w:type="dxa" w:w="130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实际费用</w:t>
            </w:r>
          </w:p>
        </w:tc>
        <w:tc>
          <w:tcPr>
            <w:tcW w:type="dxa" w:w="136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增量销售额</w:t>
            </w:r>
          </w:p>
        </w:tc>
        <w:tc>
          <w:tcPr>
            <w:tcW w:type="dxa" w:w="130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增量毛利</w:t>
            </w:r>
          </w:p>
        </w:tc>
        <w:tc>
          <w:tcPr>
            <w:tcW w:type="dxa" w:w="96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加权ROI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赢率(ROI≥1)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会员日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13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121,823.29</w:t>
            </w:r>
          </w:p>
        </w:tc>
        <w:tc>
          <w:tcPr>
            <w:tcW w:type="dxa" w:w="136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386,344.66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96,312.41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0.79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46%</w:t>
            </w:r>
          </w:p>
        </w:tc>
      </w:tr>
      <w:tr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折扣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7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62,011.49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268,193.36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71,138.37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1.15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43%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满减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12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102,882.60</w:t>
            </w:r>
          </w:p>
        </w:tc>
        <w:tc>
          <w:tcPr>
            <w:tcW w:type="dxa" w:w="136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479,403.42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125,854.92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1.22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58%</w:t>
            </w:r>
          </w:p>
        </w:tc>
      </w:tr>
      <w:tr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直播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10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88,911.18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474,373.29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122,510.79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1.38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80%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节日促销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8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40,566.97</w:t>
            </w:r>
          </w:p>
        </w:tc>
        <w:tc>
          <w:tcPr>
            <w:tcW w:type="dxa" w:w="136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296,085.30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78,053.62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1.92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75%</w:t>
            </w:r>
          </w:p>
        </w:tc>
      </w:tr>
      <w:tr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合计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50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416,195.53</w:t>
            </w:r>
          </w:p>
        </w:tc>
        <w:tc>
          <w:tcPr>
            <w:tcW w:type="dxa" w:w="136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1,904,400.03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493,870.11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1.19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60%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21"/>
        </w:rPr>
        <w:t>解读:节日促销(加权 ROI 1.92、赢率 75%)与直播(1.38、赢率 80%)是效率最高的两类;满减(1.22)稳健;折扣整体 1.15 但赢率仅 43%,分化大;会员日 0.79 为唯一整体亏损类型,13 个活动中 7 个 ROI&lt;1,说明"会员日"多为折扣让利而缺少真实拉动。</w:t>
      </w:r>
    </w:p>
    <w:p>
      <w:pPr>
        <w:pStyle w:val="Heading2"/>
      </w:pPr>
      <w:r>
        <w:t>3.2 渠道与门店场景的经营价值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渠道ID</w:t>
            </w:r>
          </w:p>
        </w:tc>
        <w:tc>
          <w:tcPr>
            <w:tcW w:type="dxa" w:w="124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渠道名称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活动数</w:t>
            </w:r>
          </w:p>
        </w:tc>
        <w:tc>
          <w:tcPr>
            <w:tcW w:type="dxa" w:w="130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实际费用</w:t>
            </w:r>
          </w:p>
        </w:tc>
        <w:tc>
          <w:tcPr>
            <w:tcW w:type="dxa" w:w="130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增量毛利</w:t>
            </w:r>
          </w:p>
        </w:tc>
        <w:tc>
          <w:tcPr>
            <w:tcW w:type="dxa" w:w="96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加权ROI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自营APP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7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62,415.11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68,167.99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1.09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CH02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微信小程序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18,823.52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30,097.04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1.60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天猫旗舰店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18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151,821.96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175,245.09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1.15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CH04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京东自营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46,871.57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52,639.16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1.12</w:t>
            </w:r>
          </w:p>
        </w:tc>
      </w:tr>
      <w:tr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抖音小店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16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117,171.97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158,591.97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1.35</w:t>
            </w:r>
          </w:p>
        </w:tc>
      </w:tr>
      <w:tr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CH06</w:t>
            </w:r>
          </w:p>
        </w:tc>
        <w:tc>
          <w:tcPr>
            <w:tcW w:type="dxa" w:w="124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美团闪购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19,091.40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9,128.86</w:t>
            </w:r>
          </w:p>
        </w:tc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0.48</w:t>
            </w:r>
          </w:p>
        </w:tc>
      </w:tr>
    </w:tbl>
    <w:p>
      <w:pPr>
        <w:pStyle w:val="ListBullet"/>
        <w:spacing w:after="40"/>
      </w:pPr>
      <w:r>
        <w:rPr>
          <w:rFonts w:ascii="等线" w:hAnsi="等线" w:eastAsia="等线"/>
          <w:b/>
        </w:rPr>
        <w:t>平台场景:</w:t>
      </w:r>
      <w:r>
        <w:rPr>
          <w:rFonts w:ascii="等线" w:hAnsi="等线" w:eastAsia="等线"/>
        </w:rPr>
        <w:t>抖音小店活动端 ROI 1.35 为各渠道最高,直播+满减组合应保留(与其低效广告费形成对照,说明内容/促销转化优于纯买量)。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天猫场景:</w:t>
      </w:r>
      <w:r>
        <w:rPr>
          <w:rFonts w:ascii="等线" w:hAnsi="等线" w:eastAsia="等线"/>
        </w:rPr>
        <w:t>天猫 18 个活动最多但 ROI 1.15,会员日/满减多笔低效(A030 0.06、A035 0.17、A022 0.32);同渠道直播与节日促销效率高,应做内部置换。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即时零售:</w:t>
      </w:r>
      <w:r>
        <w:rPr>
          <w:rFonts w:ascii="等线" w:hAnsi="等线" w:eastAsia="等线"/>
        </w:rPr>
        <w:t>美团 2 个活动 ROI 仅 0.48,不适合重促销,与 1.3 条履约补充定位一致。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门店场景:</w:t>
      </w:r>
      <w:r>
        <w:rPr>
          <w:rFonts w:ascii="等线" w:hAnsi="等线" w:eastAsia="等线"/>
        </w:rPr>
        <w:t>活动清单"门店ID"为发起门店,不改变渠道聚合口径(7.2 条);材料不含门店级到店促销效果,门店场景仅能评价其发起活动的渠道端结果。</w:t>
      </w:r>
    </w:p>
    <w:p>
      <w:pPr>
        <w:pStyle w:val="Heading2"/>
      </w:pPr>
      <w:r>
        <w:t>3.3 取舍清单:取消 7 个、调整 13 个、保留 30 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建议取消的活动(ROI&lt;0.5)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130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实际费用</w:t>
            </w:r>
          </w:p>
        </w:tc>
        <w:tc>
          <w:tcPr>
            <w:tcW w:type="dxa" w:w="79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ROI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A030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会员日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14,470.09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0.06</w:t>
            </w:r>
          </w:p>
        </w:tc>
      </w:tr>
      <w:tr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A048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会员日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CH01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13,348.43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0.09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A035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满减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3,470.91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0.17</w:t>
            </w:r>
          </w:p>
        </w:tc>
      </w:tr>
      <w:tr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A031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会员日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CH06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15,528.58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0.31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A022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满减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12,365.50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0.32</w:t>
            </w:r>
          </w:p>
        </w:tc>
      </w:tr>
      <w:tr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A007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直播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30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14,866.74</w:t>
            </w:r>
          </w:p>
        </w:tc>
        <w:tc>
          <w:tcPr>
            <w:tcW w:type="dxa" w:w="79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0.34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A050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折扣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30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12,873.49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0.38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21"/>
        </w:rPr>
        <w:t>调整类(0.5≤ROI&lt;1,13 个):以缩短活动天数、提高门槛、改为满减/直播组合为主,如 A002、A006、A012、A020、A025、A027、A028、A042、A043、A045、A017、A047、A018;保留类(ROI≥1,30 个):按 H1 已验证形式延续。动作阈值 0.5/1.0 为自定义标准(异常 A-010)。</w:t>
      </w:r>
    </w:p>
    <w:p>
      <w:pPr>
        <w:pStyle w:val="Heading2"/>
      </w:pPr>
      <w:r>
        <w:t>3.4 增量真实性与口径限制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无对照组:</w:t>
      </w:r>
      <w:r>
        <w:rPr>
          <w:rFonts w:ascii="等线" w:hAnsi="等线" w:eastAsia="等线"/>
        </w:rPr>
        <w:t>增量=活动期间销售−非活动期日均×活动天数,无对照门店/对照人群,不能区分新增需求、跨渠道转移与销售提前(节后回落);ROI 应理解为口径内相对效率而非纯因果效果。</w:t>
      </w:r>
      <w:r>
        <w:rPr>
          <w:rFonts w:ascii="等线" w:hAnsi="等线" w:eastAsia="等线"/>
          <w:sz w:val="19"/>
        </w:rPr>
        <w:t>(异常 A-007)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并行活动:</w:t>
      </w:r>
      <w:r>
        <w:rPr>
          <w:rFonts w:ascii="等线" w:hAnsi="等线" w:eastAsia="等线"/>
        </w:rPr>
        <w:t>H1 有 28 对同渠道并行活动(集中天猫、抖音),同一订单被多个活动计入期间销售额,活动间存在重复计量;H2 须按统一归因规则分摊。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6 月限制:</w:t>
      </w:r>
      <w:r>
        <w:rPr>
          <w:rFonts w:ascii="等线" w:hAnsi="等线" w:eastAsia="等线"/>
        </w:rPr>
        <w:t>6 月受退款不完整影响(异常 A-001),落在 6 月窗口的活动 ROI 与增量同样只作参考。</w:t>
      </w:r>
    </w:p>
    <w:p>
      <w:pPr>
        <w:pStyle w:val="Heading2"/>
      </w:pPr>
      <w:r>
        <w:t>3.5 H2 促销组合取舍与投放节奏</w:t>
      </w:r>
    </w:p>
    <w:p>
      <w:pPr>
        <w:spacing w:after="80"/>
      </w:pPr>
      <w:r>
        <w:rPr>
          <w:rFonts w:ascii="等线" w:hAnsi="等线" w:eastAsia="等线"/>
          <w:b w:val="0"/>
          <w:sz w:val="21"/>
        </w:rPr>
        <w:t>组合主线:加投节日促销与直播、保留稳健满减、压缩低门槛折扣、会员日与第 4 章会员分群绑定(仅对高价值与唤醒人群做定向会员日);该组合与第 1 章渠道方向一致——高效活动随小程序、抖音内容场景走,低效活动随天猫/抖音泛流量预算同步退出。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6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2268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建议活动类型</w:t>
            </w:r>
          </w:p>
        </w:tc>
        <w:tc>
          <w:tcPr>
            <w:tcW w:type="dxa" w:w="181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预算区间(建议值)</w:t>
            </w:r>
          </w:p>
        </w:tc>
        <w:tc>
          <w:tcPr>
            <w:tcW w:type="dxa" w:w="2835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关键节点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2026-07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会员日(沉睡唤醒)+满减清仓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¥55,000–75,000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启动251名沉睡金钻唤醒;S029处置</w:t>
            </w:r>
          </w:p>
        </w:tc>
      </w:tr>
      <w:tr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2026-08</w:t>
            </w:r>
          </w:p>
        </w:tc>
        <w:tc>
          <w:tcPr>
            <w:tcW w:type="dxa" w:w="226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节日促销(七夕)+直播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¥60,000–80,000</w:t>
            </w:r>
          </w:p>
        </w:tc>
        <w:tc>
          <w:tcPr>
            <w:tcW w:type="dxa" w:w="283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S017通知截止;小程序增投上线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2026-09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满减+会员日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¥60,000–80,000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S023/S034转换完工;S029到期</w:t>
            </w:r>
          </w:p>
        </w:tc>
      </w:tr>
      <w:tr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2026-10</w:t>
            </w:r>
          </w:p>
        </w:tc>
        <w:tc>
          <w:tcPr>
            <w:tcW w:type="dxa" w:w="226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节日促销(国庆)峰值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¥100,000–140,000</w:t>
            </w:r>
          </w:p>
        </w:tc>
        <w:tc>
          <w:tcPr>
            <w:tcW w:type="dxa" w:w="283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H2第一峰值;前置仓压力测试</w:t>
            </w:r>
          </w:p>
        </w:tc>
      </w:tr>
      <w:t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2026-11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折扣+直播(双11)峰值</w:t>
            </w:r>
          </w:p>
        </w:tc>
        <w:tc>
          <w:tcPr>
            <w:tcW w:type="dxa" w:w="181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¥100,000–150,000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双11;S017到期;防退款冲击</w:t>
            </w:r>
          </w:p>
        </w:tc>
      </w:tr>
      <w:tr>
        <w:tc>
          <w:tcPr>
            <w:tcW w:type="dxa" w:w="96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2026-12</w:t>
            </w:r>
          </w:p>
        </w:tc>
        <w:tc>
          <w:tcPr>
            <w:tcW w:type="dxa" w:w="226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会员日+年末回馈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¥70,000–95,000</w:t>
            </w:r>
          </w:p>
        </w:tc>
        <w:tc>
          <w:tcPr>
            <w:tcW w:type="dxa" w:w="283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双12;169名流失金钻再唤醒</w:t>
            </w:r>
          </w:p>
        </w:tc>
      </w:tr>
    </w:tbl>
    <w:p>
      <w:pPr>
        <w:spacing w:after="160"/>
      </w:pPr>
      <w:r>
        <w:rPr>
          <w:rFonts w:ascii="等线" w:hAnsi="等线" w:eastAsia="等线"/>
          <w:b w:val="0"/>
          <w:sz w:val="19"/>
        </w:rPr>
        <w:t>前提与待补:材料无 H2 活动日历、营销总预算与季节性约束(异常 A-009),上述节奏与预算区间为带前提方案;落地前须补充:H2 总预算及季度分配、平台大促资源位档期、季节性选品计划;预算按季度审批(7.5),超预算 10% 以上须报分管副总。</w:t>
      </w:r>
    </w:p>
    <w:p>
      <w:r>
        <w:br w:type="page"/>
      </w:r>
    </w:p>
    <w:p>
      <w:pPr>
        <w:pStyle w:val="Heading1"/>
      </w:pPr>
      <w:r>
        <w:t>第 4 章 会员运营建议</w:t>
      </w:r>
    </w:p>
    <w:p>
      <w:pPr>
        <w:spacing w:after="160"/>
      </w:pPr>
      <w:r>
        <w:rPr>
          <w:rFonts w:ascii="等线" w:hAnsi="等线" w:eastAsia="等线"/>
          <w:b w:val="0"/>
          <w:sz w:val="21"/>
        </w:rPr>
        <w:t>分析范围为全部 2,500 名注册会员。口径区分:会员累计消费、复购、状态以《会员订单》《跨渠道行为》为准;渠道销售明细中的会员标识仅用于渠道归因,不回加会员资产(策略 9.6;异常 A-016)。状态以基准日 2026-06-30 计算(≤60 天活跃、61–120 沉睡、&gt;120 流失),表内状态与按最近购买日期复算完全一致。</w:t>
      </w:r>
    </w:p>
    <w:p>
      <w:pPr>
        <w:pStyle w:val="Heading2"/>
      </w:pPr>
      <w:r>
        <w:t>4.1 会员结构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注册渠道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门店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1121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44.8%</w:t>
            </w:r>
          </w:p>
        </w:tc>
      </w:tr>
      <w:tr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CH05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413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16.5%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CH03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413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16.5%</w:t>
            </w:r>
          </w:p>
        </w:tc>
      </w:tr>
      <w:tr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CH04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170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6.8%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CH01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137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5.5%</w:t>
            </w:r>
          </w:p>
        </w:tc>
      </w:tr>
      <w:tr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CH02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124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5.0%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CH06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122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4.9%</w:t>
            </w:r>
          </w:p>
        </w:tc>
      </w:tr>
    </w:tbl>
    <w:p>
      <w:pPr>
        <w:spacing w:after="120"/>
      </w:pPr>
      <w:r>
        <w:rPr>
          <w:rFonts w:ascii="等线" w:hAnsi="等线" w:eastAsia="等线"/>
          <w:b w:val="0"/>
          <w:sz w:val="21"/>
        </w:rPr>
        <w:t>门店注册 1,121 人(44.8%)为最大来源;线上注册 1,379 人中 CH05、CH03 各 413 人居前。门店注册均填注册门店ID、城市与门店一致;线上注册均无门店ID,符合 9.1 条。等级结构:普通 1,000、银卡 750、金卡 500、钻石 250。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会员等级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活跃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沉睡</w:t>
            </w:r>
          </w:p>
        </w:tc>
        <w:tc>
          <w:tcPr>
            <w:tcW w:type="dxa" w:w="90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流失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活跃占比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普通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455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308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237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46%</w:t>
            </w:r>
          </w:p>
        </w:tc>
      </w:tr>
      <w:tr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银卡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347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226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177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46%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金卡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213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174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113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43%</w:t>
            </w:r>
          </w:p>
        </w:tc>
      </w:tr>
      <w:tr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钻石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117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77</w:t>
            </w:r>
          </w:p>
        </w:tc>
        <w:tc>
          <w:tcPr>
            <w:tcW w:type="dxa" w:w="90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56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8"/>
              </w:rPr>
              <w:t>47%</w:t>
            </w:r>
          </w:p>
        </w:tc>
      </w:tr>
    </w:tbl>
    <w:p>
      <w:pPr>
        <w:pStyle w:val="Heading2"/>
      </w:pPr>
      <w:r>
        <w:t>4.2 复购与跨渠道购买差异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订单结构:</w:t>
      </w:r>
      <w:r>
        <w:rPr>
          <w:rFonts w:ascii="等线" w:hAnsi="等线" w:eastAsia="等线"/>
        </w:rPr>
        <w:t>会员订单 6,000 单:线上 2,749、O2O 1,800、线下 1,451;订单类型与渠道ID/门店ID组合全部符合 9.5 条。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价值差异:</w:t>
      </w:r>
      <w:r>
        <w:rPr>
          <w:rFonts w:ascii="等线" w:hAnsi="等线" w:eastAsia="等线"/>
        </w:rPr>
        <w:t>单渠道会员 1,134 人(45.4%):人均订单 1.13、累计消费 ¥282,以普通会员为主(732 人);跨渠道会员 1,366 人(54.6%):人均订单 3.46、累计消费 ¥877,为前者 3.1 倍,且金卡/钻石合计 639 人(占金钻总数 85.2%)。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跨渠道结构:</w:t>
      </w:r>
      <w:r>
        <w:rPr>
          <w:rFonts w:ascii="等线" w:hAnsi="等线" w:eastAsia="等线"/>
        </w:rPr>
        <w:t>2 渠道 753 人、3 渠道 358 人、4 渠道 191 人、5+ 渠道 64 人;跨渠道数按"购买过的不同渠道数(含门店),O2O 只计渠道"复算,与表内一致(9.4)。</w:t>
      </w:r>
      <w:r>
        <w:rPr>
          <w:rFonts w:ascii="等线" w:hAnsi="等线" w:eastAsia="等线"/>
        </w:rPr>
        <w:t>另有 16 名 H1 内注册会员的首购渠道与订单不一致(异常 A-004)。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双向迁移:</w:t>
      </w:r>
      <w:r>
        <w:rPr>
          <w:rFonts w:ascii="等线" w:hAnsi="等线" w:eastAsia="等线"/>
        </w:rPr>
        <w:t>门店注册的 1,121 人中 992 人 H1 已在线上/O2O 购买,迁移基础好,129 人 H1 仅门店购买;线上注册会员中 610 人 H1 有线下订单,双向导流已经发生。</w:t>
      </w:r>
    </w:p>
    <w:p>
      <w:pPr>
        <w:pStyle w:val="Heading2"/>
      </w:pPr>
      <w:r>
        <w:t>4.3 分群运营与触达重点</w:t>
      </w:r>
    </w:p>
    <w:p>
      <w:pPr>
        <w:pStyle w:val="Heading3"/>
      </w:pPr>
      <w:r>
        <w:t>① 高价值活跃会员(RFM 4–5 分,约 805 人)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运营主题:</w:t>
      </w:r>
      <w:r>
        <w:rPr>
          <w:rFonts w:ascii="等线" w:hAnsi="等线" w:eastAsia="等线"/>
          <w:b w:val="0"/>
          <w:sz w:val="21"/>
        </w:rPr>
        <w:t>VIP 保级经营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专属权益、新品首发与 A 级门店活动预约;保持月度触达,防止降级;以裂变带新(老带新权益)。触达渠道:自营 APP Push+小程序+门店顾问。</w:t>
      </w:r>
    </w:p>
    <w:p>
      <w:pPr>
        <w:pStyle w:val="Heading3"/>
      </w:pPr>
      <w:r>
        <w:t>② 沉睡金卡/钻石 251 人(人均累计消费 ¥1,568)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运营主题:</w:t>
      </w:r>
      <w:r>
        <w:rPr>
          <w:rFonts w:ascii="等线" w:hAnsi="等线" w:eastAsia="等线"/>
          <w:b w:val="0"/>
          <w:sz w:val="21"/>
        </w:rPr>
        <w:t>唤醒第一优先级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按首购渠道分包(CH05 73 人、门店 57 人、CH03 43 人),7 月会员日定向发放高门槛满减券(满减 ROI 1.22 已验证);配合直播/节日活动内容召回;60 天内未唤回转入流失池。</w:t>
      </w:r>
    </w:p>
    <w:p>
      <w:pPr>
        <w:pStyle w:val="Heading3"/>
      </w:pPr>
      <w:r>
        <w:t>③ 流失金卡/钻石 169 人(人均累计消费 ¥1,480)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运营主题:</w:t>
      </w:r>
      <w:r>
        <w:rPr>
          <w:rFonts w:ascii="等线" w:hAnsi="等线" w:eastAsia="等线"/>
          <w:b w:val="0"/>
          <w:sz w:val="21"/>
        </w:rPr>
        <w:t>唤醒第二优先级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11–12 月年末回馈集中触达,以一次性强权益测试回流意愿;按 9.7 条复购渠道记录做跨渠道召回;回流成本须低于其历史贡献对应的毛利,单客 ROI 单独跟踪。</w:t>
      </w:r>
    </w:p>
    <w:p>
      <w:pPr>
        <w:pStyle w:val="Heading3"/>
      </w:pPr>
      <w:r>
        <w:t>④ 沉睡/流失的普通与银卡会员(共约 948 人)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运营主题:</w:t>
      </w:r>
      <w:r>
        <w:rPr>
          <w:rFonts w:ascii="等线" w:hAnsi="等线" w:eastAsia="等线"/>
          <w:b w:val="0"/>
          <w:sz w:val="21"/>
        </w:rPr>
        <w:t>批量自动化触达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低成本自动化 Push/短信+小程序模板消息,按 RFM 分层给券;不投入人工服务,以转化率考核。</w:t>
      </w:r>
    </w:p>
    <w:p>
      <w:pPr>
        <w:pStyle w:val="Heading3"/>
      </w:pPr>
      <w:r>
        <w:t>⑤ 单渠道会员 1,134 人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运营主题:</w:t>
      </w:r>
      <w:r>
        <w:rPr>
          <w:rFonts w:ascii="等线" w:hAnsi="等线" w:eastAsia="等线"/>
          <w:b w:val="0"/>
          <w:sz w:val="21"/>
        </w:rPr>
        <w:t>跨渠道导流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129 名仅门店购买者:门店收银与导购引导小程序绑定、线上下单;263 名仅 CH05、239 名仅 CH03 者:引导注册/绑定自营 APP 与小程序,用平台订单包裹卡与会员日权益完成迁移;导流动作与渠道收缩节奏衔接(先建触点后减平台投放)。</w:t>
      </w:r>
    </w:p>
    <w:p>
      <w:pPr>
        <w:pStyle w:val="Heading3"/>
      </w:pPr>
      <w:r>
        <w:t>⑥ 普通会员 1,000 人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>运营主题:</w:t>
      </w:r>
      <w:r>
        <w:rPr>
          <w:rFonts w:ascii="等线" w:hAnsi="等线" w:eastAsia="等线"/>
          <w:b w:val="0"/>
          <w:sz w:val="21"/>
        </w:rPr>
        <w:t>升级激励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以银卡门槛差额可视化、升级任务(跨渠道购买、连带购买)推动升级;跨渠道会员中金卡/钻石占比高,升级路径与跨渠道任务合并设计。</w:t>
      </w:r>
    </w:p>
    <w:p>
      <w:pPr>
        <w:pStyle w:val="Heading2"/>
      </w:pPr>
      <w:r>
        <w:t>4.4 渠道协同与会员资产保护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促销衔接:</w:t>
      </w:r>
      <w:r>
        <w:rPr>
          <w:rFonts w:ascii="等线" w:hAnsi="等线" w:eastAsia="等线"/>
        </w:rPr>
        <w:t>会员日不再做全平台普惠,仅面向②③⑤人群定向开展,把会员日 ROI 0.79 的结构性亏损转为分群投入;与第 3 章组合衔接。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资产保护:</w:t>
      </w:r>
      <w:r>
        <w:rPr>
          <w:rFonts w:ascii="等线" w:hAnsi="等线" w:eastAsia="等线"/>
        </w:rPr>
        <w:t>平台收缩可能造成会员触点减少:须先完成自营 APP/小程序账号绑定与权益迁移,再下调天猫/抖音投放,设置"会员迁移率≥90%"为减投前置条件。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闭店影响:</w:t>
      </w:r>
      <w:r>
        <w:rPr>
          <w:rFonts w:ascii="等线" w:hAnsi="等线" w:eastAsia="等线"/>
        </w:rPr>
        <w:t>S029、S017 闭店前 60 天将会员订单与权益迁移至周边门店及线上,点对点通知并保留自提替代方案;S023/S034/S012 转前置仓后,会员自提权益继续有效。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即时零售:</w:t>
      </w:r>
      <w:r>
        <w:rPr>
          <w:rFonts w:ascii="等线" w:hAnsi="等线" w:eastAsia="等线"/>
        </w:rPr>
        <w:t>即时零售会员触达以美团订单后的小程序引流为主,不在美团做重会员补贴(活动 ROI 0.48)。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口径边界:</w:t>
      </w:r>
      <w:r>
        <w:rPr>
          <w:rFonts w:ascii="等线" w:hAnsi="等线" w:eastAsia="等线"/>
        </w:rPr>
        <w:t>会员口径与渠道口径分列报告:同一笔线上交易只在渠道侧计收入与费用,会员侧只计等级与消费,两表不逐笔勾稽(9.8;月度差异见异常 A-005)。</w:t>
      </w:r>
    </w:p>
    <w:p>
      <w:r>
        <w:br w:type="page"/>
      </w:r>
    </w:p>
    <w:p>
      <w:pPr>
        <w:pStyle w:val="Heading1"/>
      </w:pPr>
      <w:r>
        <w:t>第 5 章 H2 资源再配置方案与执行优先级</w:t>
      </w:r>
    </w:p>
    <w:p>
      <w:pPr>
        <w:spacing w:after="160"/>
      </w:pPr>
      <w:r>
        <w:rPr>
          <w:rFonts w:ascii="等线" w:hAnsi="等线" w:eastAsia="等线"/>
          <w:b w:val="0"/>
          <w:sz w:val="21"/>
        </w:rPr>
        <w:t>本章汇总前 4 章结论。优先级综合考虑:收益改善潜力、经营风险、租约合同约束、落地紧迫性与证据充分程度,并分为三类:可立即执行、需补充核验后执行、仅适用于特定情景。所有投入数字在集团批复预算上限前均为建议值。</w:t>
      </w:r>
    </w:p>
    <w:p>
      <w:pPr>
        <w:pStyle w:val="Heading2"/>
      </w:pPr>
      <w:r>
        <w:t>5.1 H2 预算再配置(营销与促销)</w:t>
      </w:r>
    </w:p>
    <w:p>
      <w:pPr>
        <w:spacing w:after="40"/>
      </w:pPr>
      <w:r>
        <w:rPr>
          <w:rFonts w:ascii="等线" w:hAnsi="等线" w:eastAsia="等线"/>
          <w:b w:val="0"/>
          <w:sz w:val="21"/>
        </w:rPr>
        <w:t>H1 实际发生:渠道广告费 ¥979,681.90;促销活动实际费用 ¥416,195.53;两项合计 ¥1,395,877.43。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8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H1实际(¥)</w:t>
            </w:r>
          </w:p>
        </w:tc>
        <w:tc>
          <w:tcPr>
            <w:tcW w:type="dxa" w:w="181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H2建议(¥,建议值)</w:t>
            </w:r>
          </w:p>
        </w:tc>
        <w:tc>
          <w:tcPr>
            <w:tcW w:type="dxa" w:w="2608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配置逻辑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自营APP广告费</w:t>
            </w:r>
          </w:p>
        </w:tc>
        <w:tc>
          <w:tcPr>
            <w:tcW w:type="dxa" w:w="1587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148,801.35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105,000–120,000</w:t>
            </w:r>
          </w:p>
        </w:tc>
        <w:tc>
          <w:tcPr>
            <w:tcW w:type="dxa" w:w="260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效率整改,约¥30,000转会员/质量</w:t>
            </w:r>
          </w:p>
        </w:tc>
      </w:tr>
      <w:tr>
        <w:tc>
          <w:tcPr>
            <w:tcW w:type="dxa" w:w="170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小程序广告费</w:t>
            </w:r>
          </w:p>
        </w:tc>
        <w:tc>
          <w:tcPr>
            <w:tcW w:type="dxa" w:w="1587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24,492.28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37,000–49,000</w:t>
            </w:r>
          </w:p>
        </w:tc>
        <w:tc>
          <w:tcPr>
            <w:tcW w:type="dxa" w:w="260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唯一盈利渠道,ROI 4.74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天猫广告费</w:t>
            </w:r>
          </w:p>
        </w:tc>
        <w:tc>
          <w:tcPr>
            <w:tcW w:type="dxa" w:w="1587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369,674.83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275,000–300,000</w:t>
            </w:r>
          </w:p>
        </w:tc>
        <w:tc>
          <w:tcPr>
            <w:tcW w:type="dxa" w:w="260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退出泛流量,保留直播/节日</w:t>
            </w:r>
          </w:p>
        </w:tc>
      </w:tr>
      <w:tr>
        <w:tc>
          <w:tcPr>
            <w:tcW w:type="dxa" w:w="170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京东广告费</w:t>
            </w:r>
          </w:p>
        </w:tc>
        <w:tc>
          <w:tcPr>
            <w:tcW w:type="dxa" w:w="1587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134,260.57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130,000–140,000</w:t>
            </w:r>
          </w:p>
        </w:tc>
        <w:tc>
          <w:tcPr>
            <w:tcW w:type="dxa" w:w="260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择优投放,维持基本盘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抖音广告费</w:t>
            </w:r>
          </w:p>
        </w:tc>
        <w:tc>
          <w:tcPr>
            <w:tcW w:type="dxa" w:w="1587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281,881.39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210,000–240,000</w:t>
            </w:r>
          </w:p>
        </w:tc>
        <w:tc>
          <w:tcPr>
            <w:tcW w:type="dxa" w:w="260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向直播/满减迁移,保留获客</w:t>
            </w:r>
          </w:p>
        </w:tc>
      </w:tr>
      <w:tr>
        <w:tc>
          <w:tcPr>
            <w:tcW w:type="dxa" w:w="170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美团广告费</w:t>
            </w:r>
          </w:p>
        </w:tc>
        <w:tc>
          <w:tcPr>
            <w:tcW w:type="dxa" w:w="1587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20,571.48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18,000–22,000</w:t>
            </w:r>
          </w:p>
        </w:tc>
        <w:tc>
          <w:tcPr>
            <w:tcW w:type="dxa" w:w="260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限额,考核履约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广告费合计</w:t>
            </w:r>
          </w:p>
        </w:tc>
        <w:tc>
          <w:tcPr>
            <w:tcW w:type="dxa" w:w="1587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979,681.90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775,000–871,000</w:t>
            </w:r>
          </w:p>
        </w:tc>
        <w:tc>
          <w:tcPr>
            <w:tcW w:type="dxa" w:w="260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较H1 −11%–21%</w:t>
            </w:r>
          </w:p>
        </w:tc>
      </w:tr>
      <w:tr>
        <w:tc>
          <w:tcPr>
            <w:tcW w:type="dxa" w:w="1701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促销活动费用</w:t>
            </w:r>
          </w:p>
        </w:tc>
        <w:tc>
          <w:tcPr>
            <w:tcW w:type="dxa" w:w="1587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416,195.53</w:t>
            </w:r>
          </w:p>
        </w:tc>
        <w:tc>
          <w:tcPr>
            <w:tcW w:type="dxa" w:w="1814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445,000–620,000</w:t>
            </w:r>
          </w:p>
        </w:tc>
        <w:tc>
          <w:tcPr>
            <w:tcW w:type="dxa" w:w="260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8"/>
              </w:rPr>
              <w:t>按H2六个月节奏区间汇总</w:t>
            </w:r>
          </w:p>
        </w:tc>
      </w:tr>
    </w:tbl>
    <w:p>
      <w:pPr>
        <w:pStyle w:val="ListBullet"/>
        <w:spacing w:after="40"/>
      </w:pPr>
      <w:r>
        <w:rPr>
          <w:rFonts w:ascii="等线" w:hAnsi="等线" w:eastAsia="等线"/>
          <w:b/>
        </w:rPr>
        <w:t>总量:</w:t>
      </w:r>
      <w:r>
        <w:rPr>
          <w:rFonts w:ascii="等线" w:hAnsi="等线" w:eastAsia="等线"/>
        </w:rPr>
        <w:t>净再配置方向:减 CH01/CH03/CH05 广告费约 ¥127,000–174,000(按区间口径),增 CH02 约 ¥12,500–24,500,促销活动费用维持半年同量级、内部向高 ROI 类型集中。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口径:</w:t>
      </w:r>
      <w:r>
        <w:rPr>
          <w:rFonts w:ascii="等线" w:hAnsi="等线" w:eastAsia="等线"/>
        </w:rPr>
        <w:t>损益口径仅含渠道与门店两级,不含中心仓、干线与总部分摊(4.9);本方案测算的减费不等于集团利润等额增加。</w:t>
      </w:r>
      <w:r>
        <w:rPr>
          <w:rFonts w:ascii="等线" w:hAnsi="等线" w:eastAsia="等线"/>
          <w:sz w:val="19"/>
        </w:rPr>
        <w:t>(异常 A-014)</w:t>
      </w:r>
    </w:p>
    <w:p>
      <w:pPr>
        <w:pStyle w:val="Heading2"/>
      </w:pPr>
      <w:r>
        <w:t>5.2 人力再配置原则(费用口径,人数待补)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闭店:</w:t>
      </w:r>
      <w:r>
        <w:rPr>
          <w:rFonts w:ascii="等线" w:hAnsi="等线" w:eastAsia="等线"/>
        </w:rPr>
        <w:t>S029、S017 闭店:人工费用预算随店终止,员工按劳动合同优先内部转岗至周边门店、前置仓及高峰渠道履约岗位;不得据费用额直接等同裁减人数(4.8)。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转换:</w:t>
      </w:r>
      <w:r>
        <w:rPr>
          <w:rFonts w:ascii="等线" w:hAnsi="等线" w:eastAsia="等线"/>
        </w:rPr>
        <w:t>S023/S034/S012 转前置仓/自提点:用工结构由到店销售导购转为拣货、打包与即时配送协同,排班与线上单量峰谷匹配;履约包装与人力费用随单量变化,需以实际单量核定。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增投:</w:t>
      </w:r>
      <w:r>
        <w:rPr>
          <w:rFonts w:ascii="等线" w:hAnsi="等线" w:eastAsia="等线"/>
        </w:rPr>
        <w:t>小程序增投带来自提单量上升,CH02 关联门店的拣货/打包工时随之增加,人力配置向高 O2O 负荷门店倾斜。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待补:</w:t>
      </w:r>
      <w:r>
        <w:rPr>
          <w:rFonts w:ascii="等线" w:hAnsi="等线" w:eastAsia="等线"/>
        </w:rPr>
        <w:t>落地前需人力部门补充:42 店现有编制人数、岗位结构、排班工时与劳动合同条款(异常 A-012);在事实补齐前,本方案仅对人工费用流向负责,不提交确定人数。</w:t>
      </w:r>
    </w:p>
    <w:p>
      <w:pPr>
        <w:pStyle w:val="Heading2"/>
      </w:pPr>
      <w:r>
        <w:t>5.3 执行优先级总表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737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175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执行动作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020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1134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分类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P1-1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S029 核实续约+发出到期不续约通知+闭店预案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S029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闭店评估</w:t>
            </w:r>
          </w:p>
        </w:tc>
        <w:tc>
          <w:tcPr>
            <w:tcW w:type="dxa" w:w="1134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立即执行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P1-2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S017 核实续约;8月19日前完成90天书面通知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S017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闭店评估</w:t>
            </w:r>
          </w:p>
        </w:tc>
        <w:tc>
          <w:tcPr>
            <w:tcW w:type="dxa" w:w="1134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立即执行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P1-3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商品质量与物流损坏专项整改(CH01退款主因)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CH01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质量/退款</w:t>
            </w:r>
          </w:p>
        </w:tc>
        <w:tc>
          <w:tcPr>
            <w:tcW w:type="dxa" w:w="1134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立即执行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P1-4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251名沉睡金钻定向唤醒(7月会员日)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留存</w:t>
            </w:r>
          </w:p>
        </w:tc>
        <w:tc>
          <w:tcPr>
            <w:tcW w:type="dxa" w:w="1134"/>
            <w:shd w:val="clear" w:fill="EEF2F9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立即执行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P1-5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推进会员账号绑定与迁移(平台收缩前置条件)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会员/渠道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渠道协同</w:t>
            </w:r>
          </w:p>
        </w:tc>
        <w:tc>
          <w:tcPr>
            <w:tcW w:type="dxa" w:w="1134"/>
            <w:shd w:val="clear" w:fill="F8CBAD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立即执行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P2-1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S023/S034 前置仓转换(改造投入审批后)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S023/S034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业态转换</w:t>
            </w:r>
          </w:p>
        </w:tc>
        <w:tc>
          <w:tcPr>
            <w:tcW w:type="dxa" w:w="1134"/>
            <w:shd w:val="clear" w:fill="EEF2F9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P2-2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S012 压缩为纯自提点并重议租金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S012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业态转换</w:t>
            </w:r>
          </w:p>
        </w:tc>
        <w:tc>
          <w:tcPr>
            <w:tcW w:type="dxa" w:w="1134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P2-3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CH03/CH05 广告费结构性下调15%–25%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CH03/CH05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收缩</w:t>
            </w:r>
          </w:p>
        </w:tc>
        <w:tc>
          <w:tcPr>
            <w:tcW w:type="dxa" w:w="1134"/>
            <w:shd w:val="clear" w:fill="EEF2F9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P2-4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CH01 广告费下调20%–30%并转投留存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CH01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效率整改</w:t>
            </w:r>
          </w:p>
        </w:tc>
        <w:tc>
          <w:tcPr>
            <w:tcW w:type="dxa" w:w="1134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P2-5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CH02 增投50%–100%(ROI≥3前提下分批)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CH02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增投</w:t>
            </w:r>
          </w:p>
        </w:tc>
        <w:tc>
          <w:tcPr>
            <w:tcW w:type="dxa" w:w="1134"/>
            <w:shd w:val="clear" w:fill="EEF2F9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P2-6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S006/S013/S031 面积核验与坪效重算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3家待核店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数据核验</w:t>
            </w:r>
          </w:p>
        </w:tc>
        <w:tc>
          <w:tcPr>
            <w:tcW w:type="dxa" w:w="1134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P2-7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按递增条款测算H2租金、更新门店预算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42店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数据核验</w:t>
            </w:r>
          </w:p>
        </w:tc>
        <w:tc>
          <w:tcPr>
            <w:tcW w:type="dxa" w:w="1134"/>
            <w:shd w:val="clear" w:fill="EEF2F9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P2-8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7个取消活动退出、13个调整活动改版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促销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组合优化</w:t>
            </w:r>
          </w:p>
        </w:tc>
        <w:tc>
          <w:tcPr>
            <w:tcW w:type="dxa" w:w="1134"/>
            <w:shd w:val="clear" w:fill="FFE69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核验后执行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P3-1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S028 若Q3连续3月超标则转换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S028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情景执行</w:t>
            </w:r>
          </w:p>
        </w:tc>
        <w:tc>
          <w:tcPr>
            <w:tcW w:type="dxa" w:w="1134"/>
            <w:shd w:val="clear" w:fill="EEF2F9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特定情景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P3-2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S033 若连续3月超标则转换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S033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情景执行</w:t>
            </w:r>
          </w:p>
        </w:tc>
        <w:tc>
          <w:tcPr>
            <w:tcW w:type="dxa" w:w="11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特定情景</w:t>
            </w:r>
          </w:p>
        </w:tc>
      </w:tr>
      <w:tr>
        <w:tc>
          <w:tcPr>
            <w:tcW w:type="dxa" w:w="737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P3-3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CH06 履约费率改善不力时收紧单量上限</w:t>
            </w:r>
          </w:p>
        </w:tc>
        <w:tc>
          <w:tcPr>
            <w:tcW w:type="dxa" w:w="1134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CH06</w:t>
            </w:r>
          </w:p>
        </w:tc>
        <w:tc>
          <w:tcPr>
            <w:tcW w:type="dxa" w:w="1020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情景执行</w:t>
            </w:r>
          </w:p>
        </w:tc>
        <w:tc>
          <w:tcPr>
            <w:tcW w:type="dxa" w:w="1134"/>
            <w:shd w:val="clear" w:fill="EEF2F9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特定情景</w:t>
            </w:r>
          </w:p>
        </w:tc>
      </w:tr>
      <w:tr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P3-4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169名流失金钻年末集中召回(按单客ROI)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情景执行</w:t>
            </w:r>
          </w:p>
        </w:tc>
        <w:tc>
          <w:tcPr>
            <w:tcW w:type="dxa" w:w="1134"/>
            <w:shd w:val="clear" w:fill="D9E1F2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特定情景</w:t>
            </w:r>
          </w:p>
        </w:tc>
      </w:tr>
    </w:tbl>
    <w:p>
      <w:pPr>
        <w:pStyle w:val="Heading2"/>
      </w:pPr>
      <w:r>
        <w:t>5.4 各项动作的条件、风险与预期作用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 xml:space="preserve">P1-1/P1-2 闭店处置  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作用:消除两店合计约 ¥130 万/半年的亏损来源;条件:核实未续约、合同到期不晚于 12-31;风险:会员流失、员工安置、库存处置;待决策:是否授权不续约及处置预算;S029 通知窗口即时,延后将挤占处置时间。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 xml:space="preserve">P1-3 质量整改  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作用:修复 CH01 在 4–5 月因质量/物流损坏退款造成的毛利塌陷;条件:供应商品质与承运改善可在 H2 落地;风险:整改周期不确定;待决策:质量改进专项费用及责任分工。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 xml:space="preserve">P2-1/P2-2 业态转换  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作用:在不触发 ¥32.9万–52.4 万违约金的前提下压缩高租售比门店亏损;条件:改造方案与出租方租金/面积重议达成、单店改造投入低于半年减亏额;风险:前置仓单量不足、重议不成;待决策:改造资本性支出审批。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 xml:space="preserve">P2-3/P2-4 广告收缩  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作用:半年减费约 ¥12.7万–17.4 万;条件:会员迁移绑定先行、高效活动补位;风险:平台权重与规模下滑;待决策:H2 广告预算上限。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 xml:space="preserve">P2-5 小程序增投  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作用:放大唯一盈利渠道;条件:月度 ROI≥3、门店履约可承接;风险:量产后 ROI 衰减;待决策:增投分批额度与止损线。</w:t>
      </w:r>
    </w:p>
    <w:p>
      <w:pPr>
        <w:spacing w:after="40"/>
      </w:pPr>
      <w:r>
        <w:rPr>
          <w:rFonts w:ascii="等线" w:hAnsi="等线" w:eastAsia="等线"/>
          <w:b/>
          <w:sz w:val="21"/>
        </w:rPr>
        <w:t xml:space="preserve">P3-1/P3-2 条件转换  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作用:为边界门店设定自动触发机制,避免凭感觉处置;条件:Q3 连续月份再次超标(逐月判定);风险:误判月度波动;待决策:是否认可触发即执行的授权安排。</w:t>
      </w:r>
    </w:p>
    <w:p>
      <w:pPr>
        <w:pStyle w:val="Heading2"/>
      </w:pPr>
      <w:r>
        <w:t>5.5 复盘会待决策事项清单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决策1:</w:t>
      </w:r>
      <w:r>
        <w:rPr>
          <w:rFonts w:ascii="等线" w:hAnsi="等线" w:eastAsia="等线"/>
        </w:rPr>
        <w:t>是否批准 S029、S017 到期不续约及闭店评估授权(最紧迫,S029 通知需即刻发出);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决策2:</w:t>
      </w:r>
      <w:r>
        <w:rPr>
          <w:rFonts w:ascii="等线" w:hAnsi="等线" w:eastAsia="等线"/>
        </w:rPr>
        <w:t>核定并下达 2026H2 营销(广告+促销)总预算上限及季度分配,使本报告建议值转为可执行预算;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决策3:</w:t>
      </w:r>
      <w:r>
        <w:rPr>
          <w:rFonts w:ascii="等线" w:hAnsi="等线" w:eastAsia="等线"/>
        </w:rPr>
        <w:t>是否批准 S023/S034/S012 转前置仓或自提点的改造投入与租金重议授权;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决策4:</w:t>
      </w:r>
      <w:r>
        <w:rPr>
          <w:rFonts w:ascii="等线" w:hAnsi="等线" w:eastAsia="等线"/>
        </w:rPr>
        <w:t>是否同意"会员迁移绑定达标后再下调平台投放""连续月度超标自动触发转换"两项执行机制;</w:t>
      </w:r>
    </w:p>
    <w:p>
      <w:pPr>
        <w:pStyle w:val="ListBullet"/>
        <w:spacing w:after="40"/>
      </w:pPr>
      <w:r>
        <w:rPr>
          <w:rFonts w:ascii="等线" w:hAnsi="等线" w:eastAsia="等线"/>
          <w:b/>
        </w:rPr>
        <w:t>决策5:</w:t>
      </w:r>
      <w:r>
        <w:rPr>
          <w:rFonts w:ascii="等线" w:hAnsi="等线" w:eastAsia="等线"/>
        </w:rPr>
        <w:t>指派面积核验、H2 租金递增测算、编制与排班事实补齐的责任部门与完成时限(详见异常清单)。</w:t>
      </w:r>
    </w:p>
    <w:p>
      <w:r>
        <w:br w:type="page"/>
      </w:r>
    </w:p>
    <w:p>
      <w:pPr>
        <w:pStyle w:val="Heading1"/>
      </w:pPr>
      <w:r>
        <w:t>附录 依据回指清单</w:t>
      </w:r>
    </w:p>
    <w:p>
      <w:pPr>
        <w:spacing w:after="120"/>
      </w:pPr>
      <w:r>
        <w:rPr>
          <w:rFonts w:ascii="等线" w:hAnsi="等线" w:eastAsia="等线"/>
          <w:b w:val="0"/>
          <w:sz w:val="21"/>
        </w:rPr>
        <w:t>说明:本报告所有结论均可回指下列材料位置;除下表材料外未引入任何外部信息。文件简称:《销售明细》=2026H1渠道销售明细.xlsx;《费用》=2026H1线上投放与平台费用.xlsx;《台账》=2026H1门店经营台账.xlsx;《会员》=2026H1会员与跨渠道订单.xlsx;《促销》=2026H1促销活动记录.xlsx;《SKU》=SKU主数据.xlsx;《租约》=华东区门店租约汇总.docx;《策略》=渠道与门店管理策略.docx;《旧清单》=旧版门店清单_2024.xlsx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28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结论/主题</w:t>
            </w:r>
          </w:p>
        </w:tc>
        <w:tc>
          <w:tcPr>
            <w:tcW w:type="dxa" w:w="1928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依据文件</w:t>
            </w:r>
          </w:p>
        </w:tc>
        <w:tc>
          <w:tcPr>
            <w:tcW w:type="dxa" w:w="1701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Sheet/章节</w:t>
            </w:r>
          </w:p>
        </w:tc>
        <w:tc>
          <w:tcPr>
            <w:tcW w:type="dxa" w:w="3175"/>
            <w:shd w:val="clear" w:fill="305496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17"/>
              </w:rPr>
              <w:t>字段或记录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渠道净收入/毛利/费用/净利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《费用》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渠道月度费用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月份、渠道ID、净收入、毛利、广告费、平台佣金、履约费、费用合计、渠道净利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订单级收入/退款/成本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《销售明细》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渠道销售明细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收入、退款金额、净收入、商品成本、发货方式、订单状态、门店ID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投放 ROI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《费用》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投放明细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投放金额、支付金额、投放ROI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佣金计提基数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《策略》7.6;《费用》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平台佣金规则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佣金率、技术服务费率;按退款前收入复算一致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CH01 退款结构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《销售明细》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渠道退款明细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退款原因、退款金额(质量问题¥32,380.56)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6月退款不完整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《策略》4.11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数据提取时点2026-06-25;异常A-001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渠道角色定位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《策略》1.1–1.3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自营战略/平台分级/即时零售履约补充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门店分级标准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《策略》2.1–2.5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坪效、租售比、A/B/C/D阈值、面积调整披露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到店经营指标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《台账》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门店月度经营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到店销售额、毛利额、线上订单履约单量、自提单量、门店发货单量、门店O2O履约贡献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门店租金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《台账》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门店费用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租金及物业费;与租约合同基数逐店一致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门店其他费用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《台账》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门店费用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人力、营销、水电、履约包装、其他、折旧摊销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O2O履约贡献口径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《策略》3.5;《销售明细》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渠道销售明细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门店发货+到店自提订单净收入聚合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连续月份规则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《策略》6.1–6.3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逐月判定;到期以2026-12-31为界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闭店成本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《租约》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各店闭店条件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违约金、提前90天通知;S017¥263,319.91等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租期与递增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《租约》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各店条款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租期开始/结束、月租金、物业费、递增条款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历史门店背景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《旧清单》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门店清单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S043–S050 2024年已关闭;S034曾标"调整"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活动投入产出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《促销》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活动清单/活动效果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预算、实际费用、增量销售额、增量毛利、ROI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活动商品与折扣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《促销》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活动明细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原价、活动价、折扣率;活动价均≥单位成本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ROI/增量定义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《策略》7.1–7.5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ROI=增量毛利÷实际费用;增量口径;预算审批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并行活动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《促销》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活动清单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活动起止日期;28对同渠道并行(7.2条重复计入)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会员基础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《会员》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会员基础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注册渠道、会员等级、城市、注册门店ID、状态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会员订单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《会员》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会员订单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渠道ID、门店ID、金额、订单类型;符合9.5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跨渠道行为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《会员》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跨渠道行为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首购渠道、复购渠道、跨渠道购买渠道数、RFM分、流失标记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会员口径规则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《策略》9.1–9.8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注册渠道、状态阈值、跨渠道计数、两套编号体系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会员资产计量边界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《策略》9.6;《销售明细》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渠道销售明细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会员标识仅渠道归因,不回加会员累计消费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异常与待核事项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《异常与待核清单.xlsx》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异常清单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A-001~A-016,与本报告引用编号一致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损益范围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《策略》4.9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仅渠道与门店两级,不含中心仓/干线/总部分摊</w:t>
            </w:r>
          </w:p>
        </w:tc>
      </w:tr>
      <w:tr>
        <w:tc>
          <w:tcPr>
            <w:tcW w:type="dxa" w:w="1928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缺失异常处理</w:t>
            </w:r>
          </w:p>
        </w:tc>
        <w:tc>
          <w:tcPr>
            <w:tcW w:type="dxa" w:w="1928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《策略》5.1–5.2</w:t>
            </w:r>
          </w:p>
        </w:tc>
        <w:tc>
          <w:tcPr>
            <w:tcW w:type="dxa" w:w="1701"/>
            <w:shd w:val="clear" w:fill="EEF2F9"/>
          </w:tcPr>
          <w:p>
            <w:pPr>
              <w:spacing w:after="0" w:before="0"/>
              <w:jc w:val="center"/>
            </w:pPr>
            <w:r/>
            <w:r>
              <w:rPr>
                <w:rFonts w:ascii="等线" w:hAnsi="等线" w:eastAsia="等线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EF2F9"/>
          </w:tcPr>
          <w:p>
            <w:pPr>
              <w:spacing w:after="0" w:before="0"/>
              <w:jc w:val="left"/>
            </w:pPr>
            <w:r/>
            <w:r>
              <w:rPr>
                <w:rFonts w:ascii="等线" w:hAnsi="等线" w:eastAsia="等线"/>
                <w:b w:val="0"/>
                <w:sz w:val="17"/>
              </w:rPr>
              <w:t>披露/待补/缩小范围;不得虚构与外部替代</w:t>
            </w:r>
          </w:p>
        </w:tc>
      </w:tr>
    </w:tbl>
    <w:p>
      <w:pPr>
        <w:spacing w:after="0"/>
        <w:jc w:val="center"/>
      </w:pPr>
      <w:r>
        <w:rPr>
          <w:rFonts w:ascii="等线" w:hAnsi="等线" w:eastAsia="等线"/>
          <w:b/>
          <w:sz w:val="21"/>
        </w:rPr>
        <w:t>（本报告完）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等线" w:hAnsi="等线" w:eastAsia="等线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等线" w:hAnsi="等线" w:eastAsia="等线"/>
      <w:b/>
      <w:bCs/>
      <w:i/>
      <w:iCs/>
      <w:color w:val="2F549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