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提交人:渠道与门店运营策略经理</w:t>
        <w:br/>
        <w:t>提交日期:2026 年 07 月 05 日</w:t>
        <w:br/>
      </w:r>
      <w:r>
        <w:t>报告对象:集团 CEO、CFO、COO、董事会成员</w:t>
      </w:r>
    </w:p>
    <w:p>
      <w:pPr>
        <w:pStyle w:val="Heading1"/>
      </w:pPr>
      <w:r>
        <w:rPr>
          <w:color w:val="000000"/>
        </w:rPr>
        <w:t>执行摘要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r>
        <w:t>【已确认事实】本报告全部关键数字来自 9 个附件,可回指文件、Sheet 与字段(见附录);《异常与待核清单.xlsx》共登记 20 条异常与待核事项,其中影响 H2 决策的高优先事项包括:6 月退款不完整、面积调整门店坪效口径、门店费用只到费用级、无 H2 活动日历与已批准预算上限。【待核事项】H2 全部金额为建议值或条件性方案,以集团预算审批与待核事项关闭为生效前提。</w:t>
      </w:r>
    </w:p>
    <w:p>
      <w:r>
        <w:t>【已确认事实】材料使用说明:《旧版门店清单_2024.xlsx》为 2024 年历史快照(37 营业 / 8 关闭 / 5 调整),与本次决策时点(2026H1)不一致,仅用于主键沿革对照,不纳入任何指标计算;该附件属噪音材料,因此不在《异常与待核清单.xlsx》中登记为异常。</w:t>
      </w:r>
    </w:p>
    <w:p>
      <w:r>
        <w:t>【口径说明】《异常与待核清单.xlsx》`严重度(高/中/低)` 的判定口径:会改变核心结论、主要名单或重要金额的为「高」;影响结论可信度、需要返工核验但不动摇主要结论的为「中」;仅影响完备性或可复核性的为「低」。同一类问题按同一影响类别取同一档,判定可逐条复核:逐条依据见《异常与待核清单.xlsx》Sheet「异常清单」的 `影响范围`、`严重度(高/中/低)`、`披露依据` 三列;其中「高」档的制度来源为《渠道与门店管理策略.docx》第 4.11 条(2026-06 退款完整性不成立)与第 7.5 条(活动预算审批)。</w:t>
      </w:r>
    </w:p>
    <w:p>
      <w:pPr>
        <w:pStyle w:val="Heading1"/>
      </w:pPr>
      <w:r>
        <w:rPr>
          <w:color w:val="000000"/>
        </w:rP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净收入(元)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毛利率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销售费用率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投放 ROI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净利(元)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2,041,902.26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-303,881.15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1,563,966.84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-270,804.82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1,162,383.18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3.04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-68,299.14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691,728.66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30.0%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-79,554.70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411,486.74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21,985.36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增投(+20%)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238,360.01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27.9%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2.96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-18,284.65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维持(0%)</w:t>
            </w:r>
          </w:p>
        </w:tc>
      </w:tr>
    </w:tbl>
    <w:p/>
    <w:p>
      <w:r>
        <w:t>【分析判断】上述方向与幅度阈值为本报告自定规则(A-019):渠道净利 &gt; 0 且销售费用率 ≤30% 增投 +20%,渠道净利 &lt; 0 且销售费用率 ≥33% 收缩 −15%,其余维持;《渠道与门店管理策略.docx》第 1.1–1.3 条只给渠道定位,未规定阈值,故 H2 金额均为建议值。</w:t>
      </w:r>
    </w:p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r>
        <w:t>【分析判断】逐渠道诊断与 H2 动作(含依据与主要风险):</w:t>
      </w:r>
    </w:p>
    <w:p>
      <w:pPr>
        <w:pStyle w:val="ListBullet"/>
      </w:pPr>
      <w:r>
        <w:t>天猫旗舰店(CH03):H1 净收入 2,041,902.26 元,毛利率 19.6%,销售费用率 34.5%,投放 ROI 2.01,渠道净利 -303,881.15 元;H2 方向「收缩」(-15%);主要风险:投入压缩可能带来短期销售回落;需以小流量试验校准弹性,并保留高效活动与会员获取职能。</w:t>
      </w:r>
    </w:p>
    <w:p>
      <w:pPr>
        <w:pStyle w:val="ListBullet"/>
      </w:pPr>
      <w:r>
        <w:t>抖音小店(CH05):H1 净收入 1,563,966.84 元,毛利率 20.5%,销售费用率 37.8%,投放 ROI 1.83,渠道净利 -270,804.82 元;H2 方向「收缩」(-15%);主要风险:投入压缩可能带来短期销售回落;需以小流量试验校准弹性,并保留高效活动与会员获取职能。</w:t>
      </w:r>
    </w:p>
    <w:p>
      <w:pPr>
        <w:pStyle w:val="ListBullet"/>
      </w:pPr>
      <w:r>
        <w:t>京东自营(CH04):H1 净收入 1,162,383.18 元,毛利率 20.6%,销售费用率 26.5%,投放 ROI 3.04,渠道净利 -68,299.14 元;H2 方向「维持」(0%);主要风险:费用结构未改善、亏损延续;若人群定向与退货售后、履约成本不优化,现有投入水平下该渠道仍将维持净亏损。</w:t>
      </w:r>
    </w:p>
    <w:p>
      <w:pPr>
        <w:pStyle w:val="ListBullet"/>
      </w:pPr>
      <w:r>
        <w:t>自营APP(CH01):H1 净收入 691,728.66 元,毛利率 18.5%,销售费用率 30.0%,投放 ROI 1.88,渠道净利 -79,554.70 元;H2 方向「维持」(0%);主要风险:费用结构未改善、亏损延续;若人群定向与退货售后、履约成本不优化,现有投入水平下该渠道仍将维持净亏损。</w:t>
      </w:r>
    </w:p>
    <w:p>
      <w:pPr>
        <w:pStyle w:val="ListBullet"/>
      </w:pPr>
      <w:r>
        <w:t>微信小程序(CH02):H1 净收入 411,486.74 元,毛利率 19.2%,销售费用率 13.8%,投放 ROI 4.74,渠道净利 21,985.36 元;H2 方向「增投」(+20%);主要风险:投放边际效率下降、承接能力(库存与自提/配送产能)不足,增投未必同比例带来净利改善;须以小步增量投放并同步校验承接能力。</w:t>
      </w:r>
    </w:p>
    <w:p>
      <w:pPr>
        <w:pStyle w:val="ListBullet"/>
      </w:pPr>
      <w:r>
        <w:t>美团闪购(CH06):H1 净收入 238,360.01 元,毛利率 20.2%,销售费用率 27.9%,投放 ROI 2.96,渠道净利 -18,284.65 元;H2 方向「维持」(0%);主要风险:费用结构未改善、亏损延续;若人群定向与退货售后、履约成本不优化,现有投入水平下该渠道仍将维持净亏损。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平台佣金(元)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履约费(元)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费用合计(元)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369,674.83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108,660.93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120,957.76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703,899.28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314,223.61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281,881.39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132,900.90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92,466.50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591,051.26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239,599.18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52,425.56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67,723.44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308,015.08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10,517.09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26,611.36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207,225.94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24,492.28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5,746.99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15,470.78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56,956.11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29,390.74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13,283.61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22,784.49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66,452.34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【待核事项】即时配送订单的收入与履约费归属(A-013):本报告按下单渠道(渠道ID)确认;若改按「即时配送全部归即时零售渠道」的读法,CH06 净收入将由 238,360.01 元升至约 645,245.94 元,其余渠道合计减少 406,885.93 元。</w:t>
      </w:r>
    </w:p>
    <w:p>
      <w:r>
        <w:t>【待核事项】销售费用率 = 渠道费用合计 ÷ 净收入,为本报告自定补充指标(A-014);即时零售渠道的履约时效因材料无时效字段,只作定性描述(A-018)。</w:t>
      </w:r>
    </w:p>
    <w:p>
      <w:pPr>
        <w:pStyle w:val="Heading1"/>
      </w:pPr>
      <w:r>
        <w:rPr>
          <w:color w:val="000000"/>
        </w:rP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家,按第 6.1、6.2 条逐项判定如下:2 家(S017, S029)同时满足「租约在 2026H2 内到期」与「连续 6 个月 D 级」两项闭店条件,建议启动闭店评估;4 家(S012, S023, S028, S034)满足第 6.2 条「租售比连续 3 个月 &gt;35%」的逐月条件,建议按转前置仓或自提点方向评估;1 家(S033)逐月租售比未形成连续 3 个月 &gt;35%(最长连续 2 个月),不适用 6.2 条转换,列为 D 级整改候选,半年均值不用于转换判定。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r>
        <w:t>【分析判断】到店运营指标与库存指标的使用:42 家门店月均 `进店客流` 7,399 人次、`连带率` 1.86、`缺货率` 8.06%、`损耗率` 2.89%,平均 `库存周转天数` 55.7 天、`售罄率` 61.5%,2026-06 `滞销金额` 合计 2,238,426.69 元。上述指标用于识别整改门店的运营短板(如 S028 `缺货率` 11.7%、S033 2026-06 `滞销金额` 76,180.97 元),按《渠道与门店管理策略.docx》第 2.1–2.3 条不参与门店分级;库存处置(清货、调拨、退货)的分项成本材料未提供,已在《异常与待核清单.xlsx》`A-007` 列为待补,承接方为商品/供应链。</w:t>
      </w:r>
    </w:p>
    <w:p>
      <w:r>
        <w:t>【已确认事实】42 家门店分级与调整建议全览(按分级与到店坪效排序;面积调整门店 3 家(S006, S013, S031)的坪效标注「待核」并列于表末,不参与坪效排序):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城市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营业面积(㎡)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宁波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4902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4631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3659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3471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3375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2957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2756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南宁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2492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2473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2347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2168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1952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3802(待核)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2808(待核)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2042(待核)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【已确认事实】D 级门店处置明细(含租约约束与处置成本):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blHeader w:val="true"/>
        </w:trP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连续 6 个月 D 级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租售比连续 &gt;35% 最长月数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租约在 H2 内到期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租期结束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闭店违约金(元)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O2O 履约贡献(元)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2026-09-25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426,887.23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52,374.83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2028-03-02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523,885.13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96,238.83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2027-04-26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355,458.24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43,369.17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2026-11-17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263,319.91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66,870.28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 个月(不满足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2027-05-13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756,067.53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51,326.26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2028-11-19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328,558.62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69,809.42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2032-11-25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407,080.16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71,408.18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【待核事项】第 6.2 条未规定店型本已为前置仓的门店再次触发时的动作(A-015):S012、S023、S028 三家本身即为前置仓,本报告采纳「保留前置仓形态、以面积压缩与租金重议为主,并在 Q3 末复评是否转为纯自提点」;面积调整门店(S006, S013, S031)的坪效口径待补(A-001),补齐前后不参与坪效排序。</w:t>
      </w:r>
    </w:p>
    <w:p>
      <w:r>
        <w:t>【待核事项】业态转换的前置条件:被建议转前置仓或自提点的门店(S012, S023, S028, S034),须先完成①出租方/业态变更许可确认、②改造投入测算、③履约节点容量与配送半径核验;三项未完成前该建议属条件性方案,不得视为已批准改造。其中 S012、S023、S028 店型本已为前置仓,本次采纳「保留前置仓形态 + 面积压缩/租金重议,Q3 末复评是否转纯自提点」(见《异常与待核清单.xlsx》`A-015`),承接方为门店运营/法务。</w:t>
      </w:r>
    </w:p>
    <w:p>
      <w:pPr>
        <w:pStyle w:val="Heading1"/>
      </w:pPr>
      <w:r>
        <w:rPr>
          <w:color w:val="000000"/>
        </w:rP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中位 ROI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整体 ROI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节奏建议见《促销组合优化建议.xlsx》的 Sheet「H2 节奏建议」,预算按 H1 实际费用水平分配到 6 个月,重点保障双 11、双 12 等大促节点。</w:t>
      </w:r>
    </w:p>
    <w:p>
      <w:r>
        <w:t>【分析判断】建议取消的活动(ROI &lt; 1,共 20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14,470.09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13,348.43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3,470.91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0.17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15,528.58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12,365.50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14,866.74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12,873.49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11,836.73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14,244.19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14,090.22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7,472.40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6,968.65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3,594.29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11,099.07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4,666.14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10,630.78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9,135.48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0.89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11,073.64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11,791.47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14,112.84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</w:tr>
    </w:tbl>
    <w:p/>
    <w:p>
      <w:r>
        <w:t>【分析判断】建议调整的活动(1 ≤ ROI &lt; 2,共 16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5,533.43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10,473.02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12,714.32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3,562.82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2,110.03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5,952.00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11,327.73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6,556.05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3,457.45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8,975.14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5,785.99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6,567.16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11,896.70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6,741.41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2,890.20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5,634.01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1.99</w:t>
            </w:r>
          </w:p>
        </w:tc>
      </w:tr>
    </w:tbl>
    <w:p/>
    <w:p>
      <w:r>
        <w:t>【待核事项】活动明细的活动价为加权成交价(保留 2 位小数),复算方向以「销售额 ÷ 销量」为准,以单价反算产生的 ≤0.06 元差异属舍入(A-016);季节性 SKU 的适销期字段材料未提供,季节性判断只作定性描述(A-017)。</w:t>
      </w:r>
    </w:p>
    <w:p>
      <w:pPr>
        <w:pStyle w:val="Heading1"/>
      </w:pPr>
      <w:r>
        <w:rPr>
          <w:color w:val="000000"/>
        </w:rP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r>
        <w:t>【口径说明】会员 `状态` 按基准日 2026-06-30 的最近购买天数判定(≤60 天为活跃、61–120 天为沉睡、&gt;120 天为流失);`RFM分` 直接采用《2026H1会员与跨渠道订单.xlsx》跨渠道行为 Sheet 的 `RFM分` 字段(该字段由最近购买 R、订单数 F、累计消费 M 综合排名合成,1–5,5 最优),本报告不另行合成或换算;分层标签与附件字段口径保持一致,`RFM分`≥4 的分群不表述为「活跃会员」。</w:t>
      </w:r>
    </w:p>
    <w:p>
      <w:r>
        <w:t>【分析判断】会员分群与 H2 触达重点: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分群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规模(人)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特征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触达重点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高价值未流失(Top10% 消费)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累计消费位居前 10%,且 `流失标记` ≠ 是(含 `状态` 为活跃与沉睡)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专属服务、提前购、跨渠道权益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多渠道会员(≥2 个渠道)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1,366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已在 2 个及以上渠道购买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跨渠道优惠券,巩固协同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单渠道会员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1,134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仅在一个渠道购买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以自提/门店权益导流至小程序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流失会员(最近购买 &gt;120 天)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583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已判定流失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按最近购买时间分群唤回,优先低成本渠道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金卡/钻石会员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高等级会员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保级提醒与专属活动</w:t>
            </w:r>
          </w:p>
        </w:tc>
      </w:tr>
    </w:tbl>
    <w:p/>
    <w:p>
      <w:r>
        <w:t>【分析判断】渠道调整对会员资产的影响:CH03(天猫旗舰店)与 CH05(抖音小店)收缩前须完成会员迁移,把两渠道的高价值会员导向 CH02(微信小程序)与门店自提;单渠道会员 1,134 人是协同提升的主要对象。</w:t>
      </w:r>
    </w:p>
    <w:p>
      <w:pPr>
        <w:pStyle w:val="Heading1"/>
      </w:pPr>
      <w:r>
        <w:rPr>
          <w:color w:val="000000"/>
        </w:rP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级门店按三类路径处置——2 家启动闭店评估、4 家评估转前置仓或自提点、1 家列为 D 级整改候选;仅闭店门店与部分转型门店可能释放租金,且闭店须先承担剩余租期租金与违约金;C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级」条件的门店(S017, S029)闭店评估,测算剩余租期租金、违约金与释放成本;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末):完成满足 6.2 条逐月条件的 D 级门店(S012, S023, S028, S034)转前置仓/自提点试点;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r>
        <w:t>【分析判断】三类执行优先级与实施条件: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编号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类别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动作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对象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预期经营作用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实施条件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主要风险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待决策事项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启动 S017、S029 闭店评估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停止亏损:H1 累计亏损 1,303,618.01 元(月均 217,269.67 元)与相应租金支出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法务确认通知状态;租约自然到期不续约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 通知节点可能已过;员工安置与会员迁移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授权不续约与处置预算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 CH03、CH05 低效投放并设定费用率目标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释放投放额度,改善费用结构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保留高效活动与会员获取职能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销售短期回落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确认渠道费用率下降目标值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 级门店转前置仓/自提点(S012、S023、S028、S034;均满足 6.2 条逐月条件)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降低到店模式下的租售比压力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房东/业态许可、改造投入、节点容量测算(A-015)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改造成本未知;容量不足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确认改造预算与房东许可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 级门店降租谈判与品类优化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修复负经营收益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需要门店-品类毛利数据(A-020)与库存、滞销明细数据(A-007);并取得降租谈判授权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谈判周期与续约条款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授权降租谈判区间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 增投 20% 并扩充会员运营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渠道/会员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放大唯一正净利渠道的贡献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投放到店自提与小程序的承接能力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投放效率回落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确认增投额度与考核口径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节奏表落地促销组合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取消低效活动、保留高效类型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活动日历与总预算(A-012)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日历未定导致节点错配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 H2 预算与活动日历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把即时配送订单统一挂到即时零售渠道核算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统一履约归属、便于考核时效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需先明确口径(A-013)并重算 6 渠道规模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渠道规模与费用率全部变化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确认归属口径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门店履约时效与节点容量考核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门店/渠道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支撑闭店后履约迁移与时效承诺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需补充配送时长、半径与容量数据(A-018)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无数据则无法承诺时效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确认数据补充责任方</w:t>
            </w:r>
          </w:p>
        </w:tc>
      </w:tr>
    </w:tbl>
    <w:p/>
    <w:p>
      <w:r>
        <w:t>【建议值】H2 资源再配置对照(金额均为建议值或估算):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资源池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H1 实际(元)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差异(元)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口径说明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渠道广告投放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979,681.90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886,846.92(建议值)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-92,834.98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按逐渠道调整幅度测算,以预算审批为前提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促销活动费用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416,195.53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382,899.89 - 482,786.81(建议值)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-33,295.64 ~ 66,591.28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六个月节奏表分配比例测算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门店租金(闭店评估 2 家:S017、S029)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1,471,917.30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801,284.62(剩余租期租金)+ 690,207.14(违约金)= 1,491,491.76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19,574.46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按各店租期剩余月份租金(月按 30.44 天折算)+ 《华东区门店租约汇总.docx》合同违约金测算;不含腾退、员工安置与会员迁移成本;租约自然到期不续约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门店租金(转前置仓或自提点 4 家:S012、S023、S028、S034)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2,671,926.18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待评估(不低于 0)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待评估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四家均以前置仓/自提点形态继续承租,不按全额释放;实际金额取决于面积压缩与租金重议结果,须先完成出租方许可与改造投入核验(A-015)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门店租金(D 级整改候选 1 家:S033)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893,848.92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893,848.92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 逐月租售比未形成连续 3 个月 &gt;35%(最长 2 个月),不适用 6.2 条转换,租金照常发生,不计入释放测算</w:t>
            </w:r>
          </w:p>
        </w:tc>
      </w:tr>
    </w:tbl>
    <w:p/>
    <w:p>
      <w:r>
        <w:t>【待核事项】人力再配置:材料只有人工费用口径,未提供 42 店编制、工时与班次(A-011),本报告只给方向与匹配逻辑,具体人数须在事实补齐后确定。</w:t>
      </w:r>
    </w:p>
    <w:p>
      <w:pPr>
        <w:pStyle w:val="Heading1"/>
      </w:pPr>
      <w:r>
        <w:rPr>
          <w:color w:val="000000"/>
        </w:rP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  <w:sz w:val="18"/>
              </w:rPr>
              <w:t>结论类别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  <w:sz w:val="18"/>
              </w:rPr>
              <w:t>依据文件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  <w:sz w:val="18"/>
              </w:rPr>
              <w:t>具体 Sheet / 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渠道净收入、毛利、客单价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渠道月度汇总 Sheet(净收入/毛利/客单价)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渠道费用与渠道净利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投放 ROI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投放明细 Sheet(支付金额 ÷ 投放金额)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门店到店销售、坪效、租售比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 O2O 履约贡献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 + 《2026H1门店经营台账.xlsx》 交叉聚合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门店分级与调整建议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第 2 章门店分级标准(2.1–2.3)、第 6 章闭店与改造条件(6.1–6.4)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闭店约束(租期/违约金)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逐门店:租期结束、闭店条件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促销 ROI 与类型效果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《2026H1促销活动记录.xlsx》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会员结构、复购与跨渠道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《2026H1会员与跨渠道订单.xlsx》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会员基础 Sheet(`注册渠道`/`注册门店ID`/`状态`)、会员订单 Sheet(`订单类型`/`金额`)、跨渠道行为 Sheet(`累计消费`/`跨渠道购买渠道数`/`RFM分`/`流失标记`);`状态` 按最近购买天数阈值(≤60/61–120/&gt;120)判定,`RFM分` 直接采用该字段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SKU 成本与品类等级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SKU主数据 Sheet(单位成本/标准标价/品类等级)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6 月退款与数据提取时点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 渠道退款明细 Sheet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《渠道与门店管理策略.docx》第 4.11 条(提取时点 2026-06-25)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门店费用与人力口径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门店费用 Sheet(人力/营销/水电/履约包装/其他/折旧摊销;第 4.8 条只到费用级)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H2 促销节奏与建议投入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《2026H1促销活动记录.xlsx》 + 《促销组合优化建议.xlsx》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活动效果 Sheet(ROI)、活动清单 Sheet(实际费用);H2 金额为建议值(A-012)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即时配送与履约归属口径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渠道销售明细 Sheet(`发货方式`/`渠道ID`);口径见 A-013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销售费用率定义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渠道月度费用 Sheet(费用合计 ÷ 净收入);自定指标见 A-014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 H2 投入方向与幅度阈值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第 1.1–1.3 条仅规定渠道定位与平台利润分级;投入阈值为本报告自定,见 A-019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季节性 SKU 适销期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`状态`=季节性的 SKU;适销期字段缺失,见 A-017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履约时效与节点容量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2026H1 全部附件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无配送时长/半径/容量字段,见 A-018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噪音附件与历史快照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《旧版门店清单_2024.xlsx》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2024 年历史快照(37 营业/8 关闭/5 调整);仅作主键沿革对照,不纳入任何指标计算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异常清单严重度判定口径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本报告口径说明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高=改变核心结论/名单/重要金额;中=影响可信度需返工核验;低=影响完备性或可复核性;同类问题同档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到店运营与库存指标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门店月度经营 Sheet(`进店客流`/`连带率`/`缺货率`/`损耗率`/`库存周转天数`)、门店库存 Sheet(`售罄率`/`滞销金额`);不参与分级,用于整改短板识别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业态转换前置条件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 + 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第 6.2 条转换条件;许可/改造投入/节点容量核验后的条件性执行,见 A-015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