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_Toc23043 </w:instrText>
      </w:r>
      <w:r>
        <w:rPr>
          <w:rFonts w:hint="eastAsia"/>
        </w:rPr>
        <w:fldChar w:fldCharType="separate"/>
      </w:r>
      <w:r>
        <w:rPr>
          <w:rFonts w:hint="eastAsia"/>
        </w:rPr>
        <w:t>1    引言</w:t>
      </w:r>
      <w:r>
        <w:tab/>
      </w:r>
      <w:r>
        <w:fldChar w:fldCharType="begin"/>
      </w:r>
      <w:r>
        <w:instrText xml:space="preserve"> PAGEREF _Toc23043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_Toc21265 </w:instrText>
      </w:r>
      <w:r>
        <w:rPr>
          <w:rFonts w:hint="eastAsia"/>
        </w:rPr>
        <w:fldChar w:fldCharType="separate"/>
      </w:r>
      <w:r>
        <w:rPr>
          <w:rFonts w:hint="eastAsia"/>
        </w:rPr>
        <w:t>1.1     编写目的</w:t>
      </w:r>
      <w:r>
        <w:tab/>
      </w:r>
      <w:r>
        <w:fldChar w:fldCharType="begin"/>
      </w:r>
      <w:r>
        <w:instrText xml:space="preserve"> PAGEREF _Toc21265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_Toc7767 </w:instrText>
      </w:r>
      <w:r>
        <w:rPr>
          <w:rFonts w:hint="eastAsia"/>
        </w:rPr>
        <w:fldChar w:fldCharType="separate"/>
      </w:r>
      <w:r>
        <w:rPr>
          <w:rFonts w:hint="eastAsia"/>
        </w:rPr>
        <w:t>1.2    背景</w:t>
      </w:r>
      <w:r>
        <w:tab/>
      </w:r>
      <w:r>
        <w:fldChar w:fldCharType="begin"/>
      </w:r>
      <w:r>
        <w:instrText xml:space="preserve"> PAGEREF _Toc7767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_Toc21535 </w:instrText>
      </w:r>
      <w:r>
        <w:rPr>
          <w:rFonts w:hint="eastAsia"/>
        </w:rPr>
        <w:fldChar w:fldCharType="separate"/>
      </w:r>
      <w:r>
        <w:rPr>
          <w:rFonts w:hint="eastAsia"/>
        </w:rPr>
        <w:t>1.3    参考资料</w:t>
      </w:r>
      <w:r>
        <w:tab/>
      </w:r>
      <w:r>
        <w:fldChar w:fldCharType="begin"/>
      </w:r>
      <w:r>
        <w:instrText xml:space="preserve"> PAGEREF _Toc21535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_Toc31530 </w:instrText>
      </w:r>
      <w:r>
        <w:rPr>
          <w:rFonts w:hint="eastAsia"/>
        </w:rPr>
        <w:fldChar w:fldCharType="separate"/>
      </w:r>
      <w:r>
        <w:rPr>
          <w:rFonts w:hint="eastAsia"/>
        </w:rPr>
        <w:t>1.4   术语定义及说明</w:t>
      </w:r>
      <w:r>
        <w:tab/>
      </w:r>
      <w:r>
        <w:fldChar w:fldCharType="begin"/>
      </w:r>
      <w:r>
        <w:instrText xml:space="preserve"> PAGEREF _Toc31530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_Toc16211 </w:instrText>
      </w:r>
      <w:r>
        <w:rPr>
          <w:rFonts w:hint="eastAsia"/>
        </w:rPr>
        <w:fldChar w:fldCharType="separate"/>
      </w:r>
      <w:r>
        <w:rPr>
          <w:rFonts w:hint="eastAsia"/>
        </w:rPr>
        <w:t>2  设计概述</w:t>
      </w:r>
      <w:r>
        <w:tab/>
      </w:r>
      <w:r>
        <w:fldChar w:fldCharType="begin"/>
      </w:r>
      <w:r>
        <w:instrText xml:space="preserve"> PAGEREF _Toc16211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_Toc20393 </w:instrText>
      </w:r>
      <w:r>
        <w:rPr>
          <w:rFonts w:hint="eastAsia"/>
        </w:rPr>
        <w:fldChar w:fldCharType="separate"/>
      </w:r>
      <w:r>
        <w:rPr>
          <w:rFonts w:hint="eastAsia"/>
        </w:rPr>
        <w:t>2.1   任务和目标</w:t>
      </w:r>
      <w:r>
        <w:tab/>
      </w:r>
      <w:r>
        <w:fldChar w:fldCharType="begin"/>
      </w:r>
      <w:r>
        <w:instrText xml:space="preserve"> PAGEREF _Toc20393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_Toc11814 </w:instrText>
      </w:r>
      <w:r>
        <w:rPr>
          <w:rFonts w:hint="eastAsia"/>
        </w:rPr>
        <w:fldChar w:fldCharType="separate"/>
      </w:r>
      <w:r>
        <w:rPr>
          <w:rFonts w:hint="eastAsia"/>
        </w:rPr>
        <w:t>2.1.1      需求概述</w:t>
      </w:r>
      <w:r>
        <w:tab/>
      </w:r>
      <w:r>
        <w:fldChar w:fldCharType="begin"/>
      </w:r>
      <w:r>
        <w:instrText xml:space="preserve"> PAGEREF _Toc11814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_Toc12899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2.1.2      </w:t>
      </w:r>
      <w:r>
        <w:rPr>
          <w:rFonts w:hint="eastAsia"/>
          <w:lang w:eastAsia="zh-CN"/>
        </w:rPr>
        <w:t>输入与输出</w:t>
      </w:r>
      <w:r>
        <w:tab/>
      </w:r>
      <w:r>
        <w:fldChar w:fldCharType="begin"/>
      </w:r>
      <w:r>
        <w:instrText xml:space="preserve"> PAGEREF _Toc12899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_Toc7161 </w:instrText>
      </w:r>
      <w:r>
        <w:rPr>
          <w:rFonts w:hint="eastAsia"/>
        </w:rPr>
        <w:fldChar w:fldCharType="separate"/>
      </w:r>
      <w:r>
        <w:rPr>
          <w:rFonts w:hint="eastAsia"/>
        </w:rPr>
        <w:t>2.1.3      条件与限制</w:t>
      </w:r>
      <w:r>
        <w:tab/>
      </w:r>
      <w:r>
        <w:fldChar w:fldCharType="begin"/>
      </w:r>
      <w:r>
        <w:instrText xml:space="preserve"> PAGEREF _Toc7161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_Toc15364 </w:instrText>
      </w:r>
      <w:r>
        <w:rPr>
          <w:rFonts w:hint="eastAsia"/>
        </w:rPr>
        <w:fldChar w:fldCharType="separate"/>
      </w:r>
      <w:r>
        <w:rPr>
          <w:rFonts w:hint="eastAsia"/>
        </w:rPr>
        <w:t>2.1.4      详细设计方法和工具</w:t>
      </w:r>
      <w:r>
        <w:tab/>
      </w:r>
      <w:r>
        <w:fldChar w:fldCharType="begin"/>
      </w:r>
      <w:r>
        <w:instrText xml:space="preserve"> PAGEREF _Toc15364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_Toc18032 </w:instrText>
      </w:r>
      <w:r>
        <w:rPr>
          <w:rFonts w:hint="eastAsia"/>
        </w:rPr>
        <w:fldChar w:fldCharType="separate"/>
      </w:r>
      <w:r>
        <w:rPr>
          <w:rFonts w:hint="eastAsia"/>
        </w:rPr>
        <w:t>3  模块详细分析</w:t>
      </w:r>
      <w:r>
        <w:tab/>
      </w:r>
      <w:r>
        <w:fldChar w:fldCharType="begin"/>
      </w:r>
      <w:r>
        <w:instrText xml:space="preserve"> PAGEREF _Toc18032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_Toc9396 </w:instrText>
      </w:r>
      <w:r>
        <w:rPr>
          <w:rFonts w:hint="eastAsia"/>
        </w:rPr>
        <w:fldChar w:fldCharType="separate"/>
      </w:r>
      <w:r>
        <w:rPr>
          <w:rFonts w:hint="eastAsia"/>
        </w:rPr>
        <w:t>3.1创建</w:t>
      </w:r>
      <w:r>
        <w:rPr>
          <w:rFonts w:hint="eastAsia"/>
          <w:lang w:eastAsia="zh-CN"/>
        </w:rPr>
        <w:t>重选leader从节点服务服务</w:t>
      </w:r>
      <w:r>
        <w:tab/>
      </w:r>
      <w:r>
        <w:fldChar w:fldCharType="begin"/>
      </w:r>
      <w:r>
        <w:instrText xml:space="preserve"> PAGEREF _Toc9396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_Toc6593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eastAsia="zh-CN"/>
        </w:rPr>
        <w:t>启动更换</w:t>
      </w:r>
      <w:r>
        <w:rPr>
          <w:rFonts w:hint="eastAsia"/>
          <w:lang w:val="en-US" w:eastAsia="zh-CN"/>
        </w:rPr>
        <w:t>leader从节点</w:t>
      </w:r>
      <w:r>
        <w:rPr>
          <w:rFonts w:hint="eastAsia"/>
          <w:lang w:eastAsia="zh-CN"/>
        </w:rPr>
        <w:t>消息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_Toc6593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_Toc12733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eastAsia="zh-CN"/>
        </w:rPr>
        <w:t>停止更换</w:t>
      </w:r>
      <w:r>
        <w:rPr>
          <w:rFonts w:hint="eastAsia"/>
          <w:lang w:val="en-US" w:eastAsia="zh-CN"/>
        </w:rPr>
        <w:t>leader从节点</w:t>
      </w:r>
      <w:r>
        <w:rPr>
          <w:rFonts w:hint="eastAsia"/>
          <w:lang w:eastAsia="zh-CN"/>
        </w:rPr>
        <w:t>消息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_Toc12733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_Toc20561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eastAsia="zh-CN"/>
        </w:rPr>
        <w:t>重选leader请求消息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_Toc20561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_Toc7466 </w:instrText>
      </w:r>
      <w:r>
        <w:rPr>
          <w:rFonts w:hint="eastAsia"/>
        </w:rP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更换leader结果消息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_Toc7466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_Toc26705 </w:instrText>
      </w:r>
      <w:r>
        <w:rPr>
          <w:rFonts w:hint="eastAsia"/>
        </w:rPr>
        <w:fldChar w:fldCharType="separate"/>
      </w:r>
      <w:r>
        <w:rPr>
          <w:rFonts w:hint="eastAsia"/>
        </w:rPr>
        <w:t>4   模块详细设计</w:t>
      </w:r>
      <w:r>
        <w:tab/>
      </w:r>
      <w:r>
        <w:fldChar w:fldCharType="begin"/>
      </w:r>
      <w:r>
        <w:instrText xml:space="preserve"> PAGEREF _Toc26705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_Toc12146 </w:instrText>
      </w:r>
      <w:r>
        <w:rPr>
          <w:rFonts w:hint="eastAsia"/>
        </w:rPr>
        <w:fldChar w:fldCharType="separate"/>
      </w:r>
      <w:r>
        <w:rPr>
          <w:rFonts w:hint="eastAsia"/>
        </w:rPr>
        <w:t>4.1    模块结构设计</w:t>
      </w:r>
      <w:r>
        <w:tab/>
      </w:r>
      <w:r>
        <w:fldChar w:fldCharType="begin"/>
      </w:r>
      <w:r>
        <w:instrText xml:space="preserve"> PAGEREF _Toc12146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_Toc26433 </w:instrText>
      </w:r>
      <w:r>
        <w:rPr>
          <w:rFonts w:hint="eastAsia"/>
        </w:rPr>
        <w:fldChar w:fldCharType="separate"/>
      </w:r>
      <w:r>
        <w:rPr>
          <w:rFonts w:hint="eastAsia"/>
        </w:rPr>
        <w:t>4.2    功能详细设计</w:t>
      </w:r>
      <w:r>
        <w:tab/>
      </w:r>
      <w:r>
        <w:fldChar w:fldCharType="begin"/>
      </w:r>
      <w:r>
        <w:instrText xml:space="preserve"> PAGEREF _Toc26433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  <w:ind w:left="56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bookmarkStart w:id="0" w:name="_Toc25246"/>
      <w:bookmarkStart w:id="1" w:name="_Toc23043"/>
      <w:bookmarkStart w:id="40" w:name="_GoBack"/>
      <w:bookmarkEnd w:id="40"/>
      <w:r>
        <w:rPr>
          <w:rFonts w:hint="eastAsia"/>
        </w:rPr>
        <w:t>1    引言</w:t>
      </w:r>
      <w:bookmarkEnd w:id="0"/>
      <w:bookmarkEnd w:id="1"/>
    </w:p>
    <w:p>
      <w:pPr>
        <w:pStyle w:val="4"/>
      </w:pPr>
      <w:bookmarkStart w:id="2" w:name="_Toc2269"/>
      <w:bookmarkStart w:id="3" w:name="_Toc21265"/>
      <w:r>
        <w:rPr>
          <w:rFonts w:hint="eastAsia"/>
        </w:rPr>
        <w:t>1.1     编写目的</w:t>
      </w:r>
      <w:bookmarkEnd w:id="2"/>
      <w:bookmarkEnd w:id="3"/>
    </w:p>
    <w:p>
      <w:pPr>
        <w:ind w:firstLine="560" w:firstLineChars="200"/>
      </w:pPr>
      <w:r>
        <w:rPr>
          <w:rFonts w:hint="eastAsia"/>
        </w:rPr>
        <w:t>说明</w:t>
      </w:r>
      <w:r>
        <w:rPr>
          <w:rFonts w:hint="eastAsia"/>
          <w:lang w:val="en-US" w:eastAsia="zh-CN"/>
        </w:rPr>
        <w:t>重选leader从节点服务</w:t>
      </w:r>
      <w:r>
        <w:rPr>
          <w:rFonts w:hint="eastAsia"/>
        </w:rPr>
        <w:t>与其它模块的交互和设计考虑，为程序员编码提供依据。</w:t>
      </w:r>
    </w:p>
    <w:p>
      <w:pPr>
        <w:pStyle w:val="4"/>
      </w:pPr>
      <w:bookmarkStart w:id="4" w:name="_Toc29631"/>
      <w:bookmarkStart w:id="5" w:name="_Toc7767"/>
      <w:r>
        <w:rPr>
          <w:rFonts w:hint="eastAsia"/>
        </w:rPr>
        <w:t>1.2    背景</w:t>
      </w:r>
      <w:bookmarkEnd w:id="4"/>
      <w:bookmarkEnd w:id="5"/>
    </w:p>
    <w:p>
      <w:pPr>
        <w:ind w:firstLine="560" w:firstLineChars="200"/>
      </w:pPr>
      <w:r>
        <w:rPr>
          <w:rFonts w:hint="eastAsia"/>
        </w:rPr>
        <w:t xml:space="preserve">开发版本：0730 </w:t>
      </w:r>
      <w:r>
        <w:rPr>
          <w:rFonts w:hint="eastAsia"/>
        </w:rPr>
        <w:tab/>
      </w:r>
    </w:p>
    <w:p>
      <w:pPr>
        <w:ind w:firstLine="560" w:firstLineChars="200"/>
      </w:pPr>
      <w:r>
        <w:rPr>
          <w:rFonts w:hint="eastAsia"/>
        </w:rPr>
        <w:t>开发小组：算法组</w:t>
      </w:r>
    </w:p>
    <w:p>
      <w:pPr>
        <w:ind w:firstLine="560" w:firstLineChars="200"/>
      </w:pPr>
      <w:r>
        <w:rPr>
          <w:rFonts w:hint="eastAsia"/>
        </w:rPr>
        <w:t>模块描述：</w:t>
      </w:r>
      <w:r>
        <w:rPr>
          <w:rFonts w:hint="eastAsia"/>
          <w:lang w:val="en-US" w:eastAsia="zh-CN"/>
        </w:rPr>
        <w:t>重选leader流程中，自己为从节点情况下的处理流程。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主要响应主节点的请求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 xml:space="preserve"> </w:t>
      </w:r>
    </w:p>
    <w:p>
      <w:pPr>
        <w:pStyle w:val="4"/>
      </w:pPr>
      <w:bookmarkStart w:id="6" w:name="_Toc16045"/>
      <w:bookmarkStart w:id="7" w:name="_Toc21535"/>
      <w:r>
        <w:rPr>
          <w:rFonts w:hint="eastAsia"/>
        </w:rPr>
        <w:t>1.3    参考资料</w:t>
      </w:r>
      <w:bookmarkEnd w:id="6"/>
      <w:bookmarkEnd w:id="7"/>
    </w:p>
    <w:p>
      <w:pPr>
        <w:ind w:firstLine="560" w:firstLineChars="200"/>
      </w:pPr>
      <w:r>
        <w:rPr>
          <w:rFonts w:hint="eastAsia"/>
        </w:rPr>
        <w:t>以太坊源码</w:t>
      </w:r>
    </w:p>
    <w:p>
      <w:pPr>
        <w:pStyle w:val="4"/>
      </w:pPr>
      <w:bookmarkStart w:id="8" w:name="_Toc3539"/>
      <w:bookmarkStart w:id="9" w:name="_Toc31530"/>
      <w:r>
        <w:rPr>
          <w:rFonts w:hint="eastAsia"/>
        </w:rPr>
        <w:t>1.4   术语定义及说明</w:t>
      </w:r>
      <w:bookmarkEnd w:id="8"/>
      <w:bookmarkEnd w:id="9"/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从节点：验证者为</w:t>
      </w:r>
      <w:r>
        <w:rPr>
          <w:rFonts w:hint="eastAsia"/>
          <w:lang w:val="en-US" w:eastAsia="zh-CN"/>
        </w:rPr>
        <w:t>follower时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10" w:name="_Toc22654"/>
      <w:bookmarkStart w:id="11" w:name="_Toc16211"/>
      <w:r>
        <w:rPr>
          <w:rFonts w:hint="eastAsia"/>
        </w:rPr>
        <w:t>2  设计概述</w:t>
      </w:r>
      <w:bookmarkEnd w:id="10"/>
      <w:bookmarkEnd w:id="11"/>
    </w:p>
    <w:p>
      <w:pPr>
        <w:pStyle w:val="4"/>
      </w:pPr>
      <w:bookmarkStart w:id="12" w:name="_Toc14425"/>
      <w:bookmarkStart w:id="13" w:name="_Toc20393"/>
      <w:r>
        <w:rPr>
          <w:rFonts w:hint="eastAsia"/>
        </w:rPr>
        <w:t>2.1   任务和目标</w:t>
      </w:r>
      <w:bookmarkEnd w:id="12"/>
      <w:bookmarkEnd w:id="13"/>
    </w:p>
    <w:p>
      <w:pPr>
        <w:ind w:firstLine="420" w:firstLineChars="0"/>
      </w:pPr>
      <w:r>
        <w:rPr>
          <w:rFonts w:hint="eastAsia"/>
        </w:rPr>
        <w:t>1 详细说明</w:t>
      </w:r>
      <w:r>
        <w:rPr>
          <w:rFonts w:hint="eastAsia"/>
          <w:lang w:eastAsia="zh-CN"/>
        </w:rPr>
        <w:t>重选leader从节点服务</w:t>
      </w:r>
      <w:r>
        <w:rPr>
          <w:rFonts w:hint="eastAsia"/>
        </w:rPr>
        <w:t>与其它模块之间的接口。</w:t>
      </w:r>
    </w:p>
    <w:p>
      <w:pPr>
        <w:ind w:firstLine="420" w:firstLineChars="0"/>
      </w:pPr>
      <w:r>
        <w:rPr>
          <w:rFonts w:hint="eastAsia"/>
        </w:rPr>
        <w:t>2 详细说明</w:t>
      </w:r>
      <w:r>
        <w:rPr>
          <w:rFonts w:hint="eastAsia"/>
          <w:lang w:eastAsia="zh-CN"/>
        </w:rPr>
        <w:t>重选leader从节点服务</w:t>
      </w:r>
      <w:r>
        <w:rPr>
          <w:rFonts w:hint="eastAsia"/>
        </w:rPr>
        <w:t>的内部设计。</w:t>
      </w:r>
    </w:p>
    <w:p>
      <w:pPr>
        <w:pStyle w:val="4"/>
      </w:pPr>
      <w:bookmarkStart w:id="14" w:name="_Toc24742"/>
      <w:bookmarkStart w:id="15" w:name="_Toc11814"/>
      <w:r>
        <w:rPr>
          <w:rFonts w:hint="eastAsia"/>
        </w:rPr>
        <w:t>2.1.1      需求概述</w:t>
      </w:r>
      <w:bookmarkEnd w:id="14"/>
      <w:bookmarkEnd w:id="15"/>
    </w:p>
    <w:p>
      <w:pPr>
        <w:ind w:firstLine="560" w:firstLineChars="200"/>
      </w:pPr>
      <w:r>
        <w:rPr>
          <w:rFonts w:hint="eastAsia"/>
          <w:lang w:eastAsia="zh-CN"/>
        </w:rPr>
        <w:t>重选leader从节点服务</w:t>
      </w:r>
      <w:r>
        <w:rPr>
          <w:rFonts w:hint="eastAsia"/>
        </w:rPr>
        <w:t>的主要功能是响应主节点的请求。</w:t>
      </w:r>
    </w:p>
    <w:p>
      <w:pPr>
        <w:pStyle w:val="4"/>
        <w:rPr>
          <w:rFonts w:hint="eastAsia" w:eastAsiaTheme="minorEastAsia"/>
          <w:lang w:eastAsia="zh-CN"/>
        </w:rPr>
      </w:pPr>
      <w:bookmarkStart w:id="16" w:name="_Toc14803"/>
      <w:bookmarkStart w:id="17" w:name="_Toc12899"/>
      <w:r>
        <w:rPr>
          <w:rFonts w:hint="eastAsia"/>
        </w:rPr>
        <w:t xml:space="preserve">2.1.2      </w:t>
      </w:r>
      <w:bookmarkEnd w:id="16"/>
      <w:r>
        <w:rPr>
          <w:rFonts w:hint="eastAsia"/>
          <w:lang w:eastAsia="zh-CN"/>
        </w:rPr>
        <w:t>输入与输出</w:t>
      </w:r>
      <w:bookmarkEnd w:id="17"/>
    </w:p>
    <w:p>
      <w:pPr>
        <w:pStyle w:val="10"/>
        <w:numPr>
          <w:ilvl w:val="0"/>
          <w:numId w:val="1"/>
        </w:numPr>
        <w:ind w:firstLineChars="0"/>
        <w:rPr>
          <w:sz w:val="28"/>
        </w:rPr>
      </w:pPr>
      <w:bookmarkStart w:id="18" w:name="_Toc31489"/>
      <w:r>
        <w:rPr>
          <w:rFonts w:hint="eastAsia"/>
          <w:sz w:val="28"/>
        </w:rPr>
        <w:t>输入：</w:t>
      </w:r>
    </w:p>
    <w:tbl>
      <w:tblPr>
        <w:tblStyle w:val="9"/>
        <w:tblW w:w="8522" w:type="dxa"/>
        <w:jc w:val="center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982"/>
        <w:gridCol w:w="1725"/>
        <w:gridCol w:w="1178"/>
        <w:gridCol w:w="1260"/>
        <w:gridCol w:w="1865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名称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消息码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消息体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来源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实现方式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启动消息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待定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主持更换流程leader的</w:t>
            </w:r>
            <w:r>
              <w:rPr>
                <w:rFonts w:ascii="华文宋体" w:hAnsi="华文宋体" w:eastAsia="华文宋体" w:cstheme="majorBidi"/>
                <w:szCs w:val="21"/>
              </w:rPr>
              <w:t>N</w:t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odeID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更换leader控制服务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停止消息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待定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无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更换leader控制服务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szCs w:val="21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重选leader请求消息</w:t>
            </w:r>
          </w:p>
        </w:tc>
        <w:tc>
          <w:tcPr>
            <w:tcW w:w="982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</w:t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定</w:t>
            </w:r>
          </w:p>
        </w:tc>
        <w:tc>
          <w:tcPr>
            <w:tcW w:w="172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请求结构体待定</w:t>
            </w:r>
          </w:p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包含leader差值和发起者id</w:t>
            </w:r>
          </w:p>
        </w:tc>
        <w:tc>
          <w:tcPr>
            <w:tcW w:w="117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CA服务</w:t>
            </w:r>
          </w:p>
        </w:tc>
        <w:tc>
          <w:tcPr>
            <w:tcW w:w="1260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消息订阅</w:t>
            </w:r>
          </w:p>
        </w:tc>
        <w:tc>
          <w:tcPr>
            <w:tcW w:w="186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经过CA验证来自合法的validator</w:t>
            </w:r>
          </w:p>
        </w:tc>
      </w:tr>
    </w:tbl>
    <w:p>
      <w:pPr>
        <w:rPr>
          <w:sz w:val="28"/>
        </w:rPr>
      </w:pPr>
    </w:p>
    <w:p>
      <w:pPr>
        <w:pStyle w:val="10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输出：</w:t>
      </w:r>
    </w:p>
    <w:tbl>
      <w:tblPr>
        <w:tblStyle w:val="9"/>
        <w:tblW w:w="8472" w:type="dxa"/>
        <w:jc w:val="center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981"/>
        <w:gridCol w:w="1875"/>
        <w:gridCol w:w="1417"/>
        <w:gridCol w:w="2694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名称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消息码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消息体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实现方式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pStyle w:val="10"/>
              <w:spacing w:before="0" w:after="0" w:line="240" w:lineRule="auto"/>
              <w:ind w:firstLine="0" w:firstLineChars="0"/>
              <w:jc w:val="center"/>
              <w:rPr>
                <w:rFonts w:asciiTheme="majorHAnsi" w:hAnsiTheme="majorHAnsi" w:eastAsiaTheme="majorEastAsia" w:cstheme="majorBidi"/>
                <w:b/>
                <w:bCs/>
                <w:sz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5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 w:cstheme="majorBidi"/>
                <w:b/>
                <w:bCs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b/>
                <w:bCs/>
                <w:szCs w:val="21"/>
              </w:rPr>
              <w:t>投票结果消息</w:t>
            </w:r>
          </w:p>
        </w:tc>
        <w:tc>
          <w:tcPr>
            <w:tcW w:w="98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待定</w:t>
            </w:r>
          </w:p>
        </w:tc>
        <w:tc>
          <w:tcPr>
            <w:tcW w:w="1875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 w:cstheme="majorBidi"/>
                <w:szCs w:val="21"/>
              </w:rPr>
              <w:t>投票结构体待定</w:t>
            </w:r>
            <w:r>
              <w:rPr>
                <w:rFonts w:ascii="华文宋体" w:hAnsi="华文宋体" w:eastAsia="华文宋体" w:cstheme="majorBidi"/>
                <w:szCs w:val="21"/>
              </w:rPr>
              <w:br w:type="textWrapping"/>
            </w:r>
            <w:r>
              <w:rPr>
                <w:rFonts w:hint="eastAsia" w:ascii="华文宋体" w:hAnsi="华文宋体" w:eastAsia="华文宋体" w:cstheme="majorBidi"/>
                <w:szCs w:val="21"/>
              </w:rPr>
              <w:t>包含签名</w:t>
            </w:r>
          </w:p>
        </w:tc>
        <w:tc>
          <w:tcPr>
            <w:tcW w:w="1417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消息通知</w:t>
            </w:r>
          </w:p>
        </w:tc>
        <w:tc>
          <w:tcPr>
            <w:tcW w:w="2694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pStyle w:val="10"/>
              <w:ind w:firstLine="0" w:firstLineChars="0"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投票结果进过CA后通过P2P发送给请求者</w:t>
            </w:r>
          </w:p>
        </w:tc>
      </w:tr>
    </w:tbl>
    <w:p>
      <w:pPr>
        <w:pStyle w:val="10"/>
        <w:numPr>
          <w:ilvl w:val="0"/>
          <w:numId w:val="0"/>
        </w:numPr>
        <w:ind w:leftChars="0"/>
        <w:rPr>
          <w:sz w:val="28"/>
        </w:rPr>
      </w:pPr>
    </w:p>
    <w:p>
      <w:pPr>
        <w:pStyle w:val="4"/>
      </w:pPr>
      <w:bookmarkStart w:id="19" w:name="_Toc7161"/>
      <w:r>
        <w:rPr>
          <w:rFonts w:hint="eastAsia"/>
        </w:rPr>
        <w:t>2.1.3      条件与限制</w:t>
      </w:r>
      <w:bookmarkEnd w:id="18"/>
      <w:bookmarkEnd w:id="19"/>
    </w:p>
    <w:p>
      <w:pPr>
        <w:pStyle w:val="4"/>
      </w:pPr>
      <w:bookmarkStart w:id="20" w:name="_Toc18570"/>
      <w:bookmarkStart w:id="21" w:name="_Toc15364"/>
      <w:r>
        <w:rPr>
          <w:rFonts w:hint="eastAsia"/>
        </w:rPr>
        <w:t>2.1.4      详细设计方法和工具</w:t>
      </w:r>
      <w:bookmarkEnd w:id="20"/>
      <w:bookmarkEnd w:id="21"/>
    </w:p>
    <w:p>
      <w:pPr>
        <w:ind w:firstLine="560" w:firstLineChars="200"/>
      </w:pPr>
      <w:r>
        <w:rPr>
          <w:rFonts w:hint="eastAsia"/>
        </w:rPr>
        <w:t>流程图。</w:t>
      </w:r>
    </w:p>
    <w:p>
      <w:pPr>
        <w:pStyle w:val="3"/>
      </w:pPr>
      <w:bookmarkStart w:id="22" w:name="_Toc1826"/>
      <w:bookmarkStart w:id="23" w:name="_Toc18032"/>
      <w:r>
        <w:rPr>
          <w:rFonts w:hint="eastAsia"/>
        </w:rPr>
        <w:t>3  模块详细分析</w:t>
      </w:r>
      <w:bookmarkEnd w:id="22"/>
      <w:bookmarkEnd w:id="23"/>
    </w:p>
    <w:p>
      <w:pPr>
        <w:pStyle w:val="4"/>
        <w:rPr>
          <w:rFonts w:hint="eastAsia" w:eastAsiaTheme="minorEastAsia"/>
          <w:lang w:eastAsia="zh-CN"/>
        </w:rPr>
      </w:pPr>
      <w:bookmarkStart w:id="24" w:name="_Toc1645"/>
      <w:bookmarkStart w:id="25" w:name="_Toc9396"/>
      <w:r>
        <w:rPr>
          <w:rFonts w:hint="eastAsia"/>
        </w:rPr>
        <w:t>3.1创建</w:t>
      </w:r>
      <w:bookmarkEnd w:id="24"/>
      <w:r>
        <w:rPr>
          <w:rFonts w:hint="eastAsia"/>
          <w:lang w:eastAsia="zh-CN"/>
        </w:rPr>
        <w:t>重选leader从节点服务服务</w:t>
      </w:r>
      <w:bookmarkEnd w:id="25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创建重选leader从节点服务服务的实例，并对其中的成员进行初始化。进行启动消息和停止消息的订阅。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最后启动</w:t>
      </w:r>
      <w:r>
        <w:rPr>
          <w:rFonts w:hint="eastAsia"/>
          <w:lang w:val="en-US" w:eastAsia="zh-CN"/>
        </w:rPr>
        <w:t>update等待启动消息或者停止消息</w:t>
      </w:r>
    </w:p>
    <w:p>
      <w:pPr>
        <w:ind w:firstLine="560" w:firstLineChars="200"/>
      </w:pPr>
      <w:r>
        <w:rPr>
          <w:rFonts w:hint="eastAsia"/>
        </w:rPr>
        <w:t>并返回该对象</w:t>
      </w:r>
    </w:p>
    <w:p>
      <w:pPr>
        <w:pStyle w:val="4"/>
      </w:pPr>
      <w:bookmarkStart w:id="26" w:name="_Toc1347"/>
      <w:bookmarkStart w:id="27" w:name="_Toc6593"/>
      <w:r>
        <w:rPr>
          <w:rFonts w:hint="eastAsia"/>
        </w:rPr>
        <w:t xml:space="preserve">3.2 </w:t>
      </w:r>
      <w:r>
        <w:rPr>
          <w:rFonts w:hint="eastAsia"/>
          <w:lang w:eastAsia="zh-CN"/>
        </w:rPr>
        <w:t>启动更换</w:t>
      </w:r>
      <w:r>
        <w:rPr>
          <w:rFonts w:hint="eastAsia"/>
          <w:lang w:val="en-US" w:eastAsia="zh-CN"/>
        </w:rPr>
        <w:t>leader从节点</w:t>
      </w:r>
      <w:r>
        <w:rPr>
          <w:rFonts w:hint="eastAsia"/>
          <w:lang w:eastAsia="zh-CN"/>
        </w:rPr>
        <w:t>消息</w:t>
      </w:r>
      <w:r>
        <w:rPr>
          <w:rFonts w:hint="eastAsia"/>
        </w:rPr>
        <w:t>：</w:t>
      </w:r>
      <w:bookmarkEnd w:id="26"/>
      <w:bookmarkEnd w:id="27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从更换leader控制服务发来，收到后启动重选leader处理函数。</w:t>
      </w:r>
    </w:p>
    <w:p>
      <w:pPr>
        <w:pStyle w:val="4"/>
      </w:pPr>
      <w:bookmarkStart w:id="28" w:name="_Toc18634"/>
      <w:bookmarkStart w:id="29" w:name="_Toc12733"/>
      <w:r>
        <w:rPr>
          <w:rFonts w:hint="eastAsia"/>
        </w:rPr>
        <w:t xml:space="preserve">3.3 </w:t>
      </w:r>
      <w:r>
        <w:rPr>
          <w:rFonts w:hint="eastAsia"/>
          <w:lang w:eastAsia="zh-CN"/>
        </w:rPr>
        <w:t>停止更换</w:t>
      </w:r>
      <w:r>
        <w:rPr>
          <w:rFonts w:hint="eastAsia"/>
          <w:lang w:val="en-US" w:eastAsia="zh-CN"/>
        </w:rPr>
        <w:t>leader从节点</w:t>
      </w:r>
      <w:r>
        <w:rPr>
          <w:rFonts w:hint="eastAsia"/>
          <w:lang w:eastAsia="zh-CN"/>
        </w:rPr>
        <w:t>消息</w:t>
      </w:r>
      <w:r>
        <w:rPr>
          <w:rFonts w:hint="eastAsia"/>
        </w:rPr>
        <w:t>：</w:t>
      </w:r>
      <w:bookmarkEnd w:id="28"/>
      <w:bookmarkEnd w:id="29"/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收到后向重选leader处理函数发出退出消息，退出重选leader处理函数。</w:t>
      </w:r>
    </w:p>
    <w:p>
      <w:pPr>
        <w:pStyle w:val="4"/>
      </w:pPr>
      <w:bookmarkStart w:id="30" w:name="_Toc23435"/>
      <w:bookmarkStart w:id="31" w:name="_Toc20561"/>
      <w:r>
        <w:rPr>
          <w:rFonts w:hint="eastAsia"/>
        </w:rPr>
        <w:t xml:space="preserve">3.4 </w:t>
      </w:r>
      <w:r>
        <w:rPr>
          <w:rFonts w:hint="eastAsia"/>
          <w:lang w:eastAsia="zh-CN"/>
        </w:rPr>
        <w:t>重选leader请求消息</w:t>
      </w:r>
      <w:r>
        <w:rPr>
          <w:rFonts w:hint="eastAsia"/>
        </w:rPr>
        <w:t>：</w:t>
      </w:r>
      <w:bookmarkEnd w:id="30"/>
      <w:bookmarkEnd w:id="31"/>
    </w:p>
    <w:p>
      <w:pPr>
        <w:ind w:firstLine="560" w:firstLineChars="200"/>
        <w:rPr>
          <w:rFonts w:hint="eastAsia"/>
        </w:rPr>
      </w:pPr>
      <w:r>
        <w:rPr>
          <w:rFonts w:hint="eastAsia"/>
          <w:lang w:eastAsia="zh-CN"/>
        </w:rPr>
        <w:t>收到后对请求进行投票，将投票结果通过</w:t>
      </w:r>
      <w:r>
        <w:rPr>
          <w:rFonts w:hint="eastAsia"/>
          <w:lang w:val="en-US" w:eastAsia="zh-CN"/>
        </w:rPr>
        <w:t>ca发送给leader</w:t>
      </w:r>
      <w:r>
        <w:rPr>
          <w:rFonts w:hint="eastAsia"/>
        </w:rPr>
        <w:t>。</w:t>
      </w:r>
    </w:p>
    <w:p>
      <w:pPr>
        <w:pStyle w:val="4"/>
      </w:pPr>
      <w:bookmarkStart w:id="32" w:name="_Toc7466"/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更换leader结果消息</w:t>
      </w:r>
      <w:r>
        <w:rPr>
          <w:rFonts w:hint="eastAsia"/>
        </w:rPr>
        <w:t>：</w:t>
      </w:r>
      <w:bookmarkEnd w:id="32"/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如果是由</w:t>
      </w:r>
      <w:r>
        <w:rPr>
          <w:rFonts w:hint="eastAsia"/>
          <w:lang w:val="en-US" w:eastAsia="zh-CN"/>
        </w:rPr>
        <w:t>leader发来，则调用dpos共识引擎接口判断结果是否成功</w:t>
      </w:r>
      <w:r>
        <w:rPr>
          <w:rFonts w:hint="eastAsia"/>
        </w:rPr>
        <w:t>。</w:t>
      </w:r>
      <w:r>
        <w:rPr>
          <w:rFonts w:hint="eastAsia"/>
          <w:lang w:eastAsia="zh-CN"/>
        </w:rPr>
        <w:t>如果成功则向更换</w:t>
      </w:r>
      <w:r>
        <w:rPr>
          <w:rFonts w:hint="eastAsia"/>
          <w:lang w:val="en-US" w:eastAsia="zh-CN"/>
        </w:rPr>
        <w:t>leader控制服务</w:t>
      </w:r>
      <w:r>
        <w:rPr>
          <w:rFonts w:hint="eastAsia"/>
          <w:lang w:eastAsia="zh-CN"/>
        </w:rPr>
        <w:t>发出更换</w:t>
      </w:r>
      <w:r>
        <w:rPr>
          <w:rFonts w:hint="eastAsia"/>
          <w:lang w:val="en-US" w:eastAsia="zh-CN"/>
        </w:rPr>
        <w:t>leader结果消息。</w:t>
      </w:r>
    </w:p>
    <w:p>
      <w:pPr>
        <w:ind w:firstLine="560" w:firstLineChars="200"/>
        <w:rPr>
          <w:rFonts w:hint="eastAsia"/>
        </w:rPr>
      </w:pPr>
    </w:p>
    <w:p>
      <w:pPr>
        <w:pStyle w:val="3"/>
      </w:pPr>
      <w:bookmarkStart w:id="33" w:name="_Toc18076"/>
      <w:bookmarkStart w:id="34" w:name="_Toc26705"/>
      <w:r>
        <w:rPr>
          <w:rFonts w:hint="eastAsia"/>
        </w:rPr>
        <w:t>4   模块详细设计</w:t>
      </w:r>
      <w:bookmarkEnd w:id="33"/>
      <w:bookmarkEnd w:id="34"/>
    </w:p>
    <w:p>
      <w:pPr>
        <w:pStyle w:val="4"/>
      </w:pPr>
      <w:bookmarkStart w:id="35" w:name="_Toc8997"/>
      <w:bookmarkStart w:id="36" w:name="_Toc12146"/>
      <w:r>
        <w:rPr>
          <w:rFonts w:hint="eastAsia"/>
        </w:rPr>
        <w:t>4.1    模块结构设计</w:t>
      </w:r>
      <w:bookmarkEnd w:id="35"/>
      <w:bookmarkEnd w:id="36"/>
    </w:p>
    <w:p>
      <w:pPr>
        <w:pStyle w:val="4"/>
        <w:rPr>
          <w:rFonts w:hint="eastAsia"/>
        </w:rPr>
      </w:pPr>
      <w:bookmarkStart w:id="37" w:name="_Toc22414"/>
      <w:bookmarkStart w:id="38" w:name="_Toc26433"/>
      <w:r>
        <w:rPr>
          <w:rFonts w:hint="eastAsia"/>
        </w:rPr>
        <w:t>4.2    功能详细设计</w:t>
      </w:r>
      <w:bookmarkEnd w:id="37"/>
      <w:bookmarkEnd w:id="38"/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主要数据结构：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type followerReElectLeader struct {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role int //-1: not found. 0: super miner 1:non-super miner 2:super verifier 3:non-super verifier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//启动重选从节点服务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followerReelectLeaderServiceStartCh  chan followerReelectEvent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followerReelectLeaderServiceStartSub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//停止重选从节点服务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followerReelectLeaderServiceStopCh  chan followerReelectEvent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followerReelectLeaderServiceStopSub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//重选leader请求消息，来自ca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reelectLeaderRequestCh  chan reelectLeaderRequestEvent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reelectLeaderRequestSub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//重选leader结果消息，来自ca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reelectLeaderResultCh  chan reelectLeaderResulttEvent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reelectLeaderResultSub event.Subscription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quitCh chan int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leaderId string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refuseVote bool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delayVote  bool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主要函数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函数名称： </w:t>
      </w:r>
      <w:r>
        <w:rPr>
          <w:rFonts w:hint="eastAsia"/>
          <w:lang w:val="en-US" w:eastAsia="zh-CN"/>
        </w:rPr>
        <w:t>update()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收到启动消息或者停止消息时进行相应处理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输入：</w:t>
      </w:r>
    </w:p>
    <w:p>
      <w:pPr>
        <w:ind w:firstLine="560" w:firstLineChars="200"/>
        <w:rPr>
          <w:rFonts w:hint="eastAsia"/>
        </w:rPr>
      </w:pPr>
      <w:r>
        <w:rPr>
          <w:rFonts w:hint="eastAsia"/>
        </w:rPr>
        <w:t>输出：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04540" cy="3418840"/>
            <wp:effectExtent l="0" t="0" r="10160" b="10160"/>
            <wp:docPr id="1" name="图片 1" descr="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d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</w:rPr>
      </w:pPr>
      <w:bookmarkStart w:id="39" w:name="OLE_LINK1"/>
      <w:r>
        <w:rPr>
          <w:rFonts w:hint="eastAsia"/>
        </w:rPr>
        <w:t>函数名称：reelectLeader()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根据不同消息调用相应处理函数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bookmarkEnd w:id="39"/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363210"/>
            <wp:effectExtent l="0" t="0" r="7620" b="8890"/>
            <wp:docPr id="3" name="图片 3" descr="reelectL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electLea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函数名称：reelectLeaderRequestHandle</w:t>
      </w:r>
      <w:r>
        <w:rPr>
          <w:rFonts w:hint="eastAsia"/>
          <w:lang w:val="en-US" w:eastAsia="zh-CN"/>
        </w:rPr>
        <w:t>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eastAsia="zh-CN"/>
        </w:rPr>
        <w:t>对更换</w:t>
      </w:r>
      <w:r>
        <w:rPr>
          <w:rFonts w:hint="eastAsia"/>
          <w:lang w:val="en-US" w:eastAsia="zh-CN"/>
        </w:rPr>
        <w:t>leader请求进行投票。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更换</w:t>
      </w:r>
      <w:r>
        <w:rPr>
          <w:rFonts w:hint="eastAsia"/>
          <w:lang w:val="en-US" w:eastAsia="zh-CN"/>
        </w:rPr>
        <w:t>leader请求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5550" cy="8542655"/>
            <wp:effectExtent l="0" t="0" r="0" b="10795"/>
            <wp:docPr id="4" name="图片 4" descr="更换leader请求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更换leader请求处理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5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函数名称：reelectLeaderResultHandle</w:t>
      </w:r>
      <w:r>
        <w:rPr>
          <w:rFonts w:hint="eastAsia"/>
          <w:lang w:val="en-US" w:eastAsia="zh-CN"/>
        </w:rPr>
        <w:t>()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函数功能：</w:t>
      </w:r>
      <w:r>
        <w:rPr>
          <w:rFonts w:hint="eastAsia"/>
          <w:lang w:val="en-US" w:eastAsia="zh-CN"/>
        </w:rPr>
        <w:t xml:space="preserve"> 对更换leader投票结果进行处理。</w:t>
      </w: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</w:rPr>
        <w:t>输入：</w:t>
      </w:r>
      <w:r>
        <w:rPr>
          <w:rFonts w:hint="eastAsia"/>
          <w:lang w:eastAsia="zh-CN"/>
        </w:rPr>
        <w:t>投票结果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09290" cy="5571490"/>
            <wp:effectExtent l="0" t="0" r="10160" b="10160"/>
            <wp:docPr id="5" name="图片 5" descr="更换leader结果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更换leader结果处理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50C84"/>
    <w:multiLevelType w:val="multilevel"/>
    <w:tmpl w:val="2BB50C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4772C"/>
    <w:rsid w:val="0D1709DA"/>
    <w:rsid w:val="105D0F9B"/>
    <w:rsid w:val="2BDB1A57"/>
    <w:rsid w:val="341444BE"/>
    <w:rsid w:val="34520D9E"/>
    <w:rsid w:val="359C0547"/>
    <w:rsid w:val="375C3CC9"/>
    <w:rsid w:val="54A8149D"/>
    <w:rsid w:val="7DA4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Light Grid Accent 1"/>
    <w:basedOn w:val="8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2018-08-06T07:26:00Z</dcterms:created>
  <dc:creator>alvin</dc:creator>
  <cp:lastModifiedBy>alvin</cp:lastModifiedBy>
  <dcterms:modified xsi:type="dcterms:W3CDTF">2018-08-06T08:01:34Z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