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ind w:left="560"/>
      </w:pPr>
      <w:r>
        <w:rPr>
          <w:rFonts w:hint="eastAsia"/>
        </w:rPr>
        <w:fldChar w:fldCharType="begin"/>
      </w:r>
      <w:r>
        <w:instrText xml:space="preserve">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"_Toc25246" </w:instrText>
      </w:r>
      <w:r>
        <w:fldChar w:fldCharType="separate"/>
      </w:r>
      <w:r>
        <w:rPr>
          <w:rFonts w:hint="eastAsia"/>
        </w:rPr>
        <w:t>1    引言</w:t>
      </w:r>
      <w:r>
        <w:tab/>
      </w:r>
      <w:r>
        <w:fldChar w:fldCharType="begin"/>
      </w:r>
      <w:r>
        <w:instrText xml:space="preserve"> PAGEREF _Toc25246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"_Toc2269" </w:instrText>
      </w:r>
      <w:r>
        <w:fldChar w:fldCharType="separate"/>
      </w:r>
      <w:r>
        <w:rPr>
          <w:rFonts w:hint="eastAsia"/>
        </w:rPr>
        <w:t>1.1     编写目的</w:t>
      </w:r>
      <w:r>
        <w:tab/>
      </w:r>
      <w:r>
        <w:fldChar w:fldCharType="begin"/>
      </w:r>
      <w:r>
        <w:instrText xml:space="preserve"> PAGEREF _Toc2269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"_Toc29631" </w:instrText>
      </w:r>
      <w:r>
        <w:fldChar w:fldCharType="separate"/>
      </w:r>
      <w:r>
        <w:rPr>
          <w:rFonts w:hint="eastAsia"/>
        </w:rPr>
        <w:t>1.2    背景</w:t>
      </w:r>
      <w:r>
        <w:tab/>
      </w:r>
      <w:r>
        <w:fldChar w:fldCharType="begin"/>
      </w:r>
      <w:r>
        <w:instrText xml:space="preserve"> PAGEREF _Toc29631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"_Toc16045" </w:instrText>
      </w:r>
      <w:r>
        <w:fldChar w:fldCharType="separate"/>
      </w:r>
      <w:r>
        <w:rPr>
          <w:rFonts w:hint="eastAsia"/>
        </w:rPr>
        <w:t>1.3    参考资料</w:t>
      </w:r>
      <w:r>
        <w:tab/>
      </w:r>
      <w:r>
        <w:fldChar w:fldCharType="begin"/>
      </w:r>
      <w:r>
        <w:instrText xml:space="preserve"> PAGEREF _Toc16045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"_Toc3539" </w:instrText>
      </w:r>
      <w:r>
        <w:fldChar w:fldCharType="separate"/>
      </w:r>
      <w:r>
        <w:rPr>
          <w:rFonts w:hint="eastAsia"/>
        </w:rPr>
        <w:t>1.4   术语定义及说明</w:t>
      </w:r>
      <w:r>
        <w:tab/>
      </w:r>
      <w:r>
        <w:fldChar w:fldCharType="begin"/>
      </w:r>
      <w:r>
        <w:instrText xml:space="preserve"> PAGEREF _Toc3539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"_Toc22654" </w:instrText>
      </w:r>
      <w:r>
        <w:fldChar w:fldCharType="separate"/>
      </w:r>
      <w:r>
        <w:rPr>
          <w:rFonts w:hint="eastAsia"/>
        </w:rPr>
        <w:t>2  设计概述</w:t>
      </w:r>
      <w:r>
        <w:tab/>
      </w:r>
      <w:r>
        <w:fldChar w:fldCharType="begin"/>
      </w:r>
      <w:r>
        <w:instrText xml:space="preserve"> PAGEREF _Toc22654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"_Toc14425" </w:instrText>
      </w:r>
      <w:r>
        <w:fldChar w:fldCharType="separate"/>
      </w:r>
      <w:r>
        <w:rPr>
          <w:rFonts w:hint="eastAsia"/>
        </w:rPr>
        <w:t>2.1   任务和目标</w:t>
      </w:r>
      <w:r>
        <w:tab/>
      </w:r>
      <w:r>
        <w:fldChar w:fldCharType="begin"/>
      </w:r>
      <w:r>
        <w:instrText xml:space="preserve"> PAGEREF _Toc14425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"_Toc24742" </w:instrText>
      </w:r>
      <w:r>
        <w:fldChar w:fldCharType="separate"/>
      </w:r>
      <w:r>
        <w:rPr>
          <w:rFonts w:hint="eastAsia"/>
        </w:rPr>
        <w:t>2.1.1      需求概述</w:t>
      </w:r>
      <w:r>
        <w:tab/>
      </w:r>
      <w:r>
        <w:fldChar w:fldCharType="begin"/>
      </w:r>
      <w:r>
        <w:instrText xml:space="preserve"> PAGEREF _Toc24742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"_Toc14803" </w:instrText>
      </w:r>
      <w:r>
        <w:fldChar w:fldCharType="separate"/>
      </w:r>
      <w:r>
        <w:rPr>
          <w:rFonts w:hint="eastAsia"/>
        </w:rPr>
        <w:t>2.1.2      运行环境概述</w:t>
      </w:r>
      <w:r>
        <w:tab/>
      </w:r>
      <w:r>
        <w:fldChar w:fldCharType="begin"/>
      </w:r>
      <w:r>
        <w:instrText xml:space="preserve"> PAGEREF _Toc14803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"_Toc31489" </w:instrText>
      </w:r>
      <w:r>
        <w:fldChar w:fldCharType="separate"/>
      </w:r>
      <w:r>
        <w:rPr>
          <w:rFonts w:hint="eastAsia"/>
        </w:rPr>
        <w:t>2.1.3      条件与限制</w:t>
      </w:r>
      <w:r>
        <w:tab/>
      </w:r>
      <w:r>
        <w:fldChar w:fldCharType="begin"/>
      </w:r>
      <w:r>
        <w:instrText xml:space="preserve"> PAGEREF _Toc31489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"_Toc18570" </w:instrText>
      </w:r>
      <w:r>
        <w:fldChar w:fldCharType="separate"/>
      </w:r>
      <w:r>
        <w:rPr>
          <w:rFonts w:hint="eastAsia"/>
        </w:rPr>
        <w:t>2.1.4      详细设计方法和工具</w:t>
      </w:r>
      <w:r>
        <w:tab/>
      </w:r>
      <w:r>
        <w:fldChar w:fldCharType="begin"/>
      </w:r>
      <w:r>
        <w:instrText xml:space="preserve"> PAGEREF _Toc18570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"_Toc1826" </w:instrText>
      </w:r>
      <w:r>
        <w:fldChar w:fldCharType="separate"/>
      </w:r>
      <w:r>
        <w:rPr>
          <w:rFonts w:hint="eastAsia"/>
        </w:rPr>
        <w:t>3  模块详细需求分析</w:t>
      </w:r>
      <w:r>
        <w:tab/>
      </w:r>
      <w:r>
        <w:fldChar w:fldCharType="begin"/>
      </w:r>
      <w:r>
        <w:instrText xml:space="preserve"> PAGEREF _Toc1826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"_Toc1645" </w:instrText>
      </w:r>
      <w:r>
        <w:fldChar w:fldCharType="separate"/>
      </w:r>
      <w:r>
        <w:rPr>
          <w:rFonts w:hint="eastAsia"/>
        </w:rPr>
        <w:t>3.1创建</w:t>
      </w:r>
      <w:r>
        <w:rPr>
          <w:rFonts w:hint="eastAsia"/>
          <w:lang w:eastAsia="zh-CN"/>
        </w:rPr>
        <w:t>leader身份计算服务</w:t>
      </w:r>
      <w:r>
        <w:tab/>
      </w:r>
      <w:r>
        <w:fldChar w:fldCharType="begin"/>
      </w:r>
      <w:r>
        <w:instrText xml:space="preserve"> PAGEREF _Toc1645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"_Toc1347" </w:instrText>
      </w:r>
      <w:r>
        <w:fldChar w:fldCharType="separate"/>
      </w:r>
      <w:r>
        <w:rPr>
          <w:rFonts w:hint="eastAsia"/>
        </w:rPr>
        <w:t>3.2 收到身份消息：</w:t>
      </w:r>
      <w:r>
        <w:tab/>
      </w:r>
      <w:r>
        <w:fldChar w:fldCharType="begin"/>
      </w:r>
      <w:r>
        <w:instrText xml:space="preserve"> PAGEREF _Toc1347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"_Toc18634" </w:instrText>
      </w:r>
      <w:r>
        <w:fldChar w:fldCharType="separate"/>
      </w:r>
      <w:r>
        <w:rPr>
          <w:rFonts w:hint="eastAsia"/>
        </w:rPr>
        <w:t>3.3 收到本地挖矿请求消息：</w:t>
      </w:r>
      <w:r>
        <w:tab/>
      </w:r>
      <w:r>
        <w:fldChar w:fldCharType="begin"/>
      </w:r>
      <w:r>
        <w:instrText xml:space="preserve"> PAGEREF _Toc18634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"_Toc23435" </w:instrText>
      </w:r>
      <w:r>
        <w:fldChar w:fldCharType="separate"/>
      </w:r>
      <w:r>
        <w:rPr>
          <w:rFonts w:hint="eastAsia"/>
        </w:rPr>
        <w:t>3.4 收到Found消息：</w:t>
      </w:r>
      <w:r>
        <w:tab/>
      </w:r>
      <w:r>
        <w:fldChar w:fldCharType="begin"/>
      </w:r>
      <w:r>
        <w:instrText xml:space="preserve"> PAGEREF _Toc23435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"_Toc29431" </w:instrText>
      </w:r>
      <w:r>
        <w:fldChar w:fldCharType="separate"/>
      </w:r>
      <w:r>
        <w:rPr>
          <w:rFonts w:hint="eastAsia"/>
        </w:rPr>
        <w:t>3.5新区块到达消息：</w:t>
      </w:r>
      <w:r>
        <w:tab/>
      </w:r>
      <w:r>
        <w:fldChar w:fldCharType="begin"/>
      </w:r>
      <w:r>
        <w:instrText xml:space="preserve"> PAGEREF _Toc29431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"_Toc18076" </w:instrText>
      </w:r>
      <w:r>
        <w:fldChar w:fldCharType="separate"/>
      </w:r>
      <w:r>
        <w:rPr>
          <w:rFonts w:hint="eastAsia"/>
        </w:rPr>
        <w:t>4   模块详细设计</w:t>
      </w:r>
      <w:r>
        <w:tab/>
      </w:r>
      <w:r>
        <w:fldChar w:fldCharType="begin"/>
      </w:r>
      <w:r>
        <w:instrText xml:space="preserve"> PAGEREF _Toc18076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"_Toc8997" </w:instrText>
      </w:r>
      <w:r>
        <w:fldChar w:fldCharType="separate"/>
      </w:r>
      <w:r>
        <w:rPr>
          <w:rFonts w:hint="eastAsia"/>
        </w:rPr>
        <w:t>4.1    模块结构设计</w:t>
      </w:r>
      <w:r>
        <w:tab/>
      </w:r>
      <w:r>
        <w:fldChar w:fldCharType="begin"/>
      </w:r>
      <w:r>
        <w:instrText xml:space="preserve"> PAGEREF _Toc8997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1120"/>
      </w:pPr>
      <w:r>
        <w:fldChar w:fldCharType="begin"/>
      </w:r>
      <w:r>
        <w:instrText xml:space="preserve"> HYPERLINK \l "_Toc22414" </w:instrText>
      </w:r>
      <w:r>
        <w:fldChar w:fldCharType="separate"/>
      </w:r>
      <w:r>
        <w:rPr>
          <w:rFonts w:hint="eastAsia"/>
        </w:rPr>
        <w:t>4.2    功能详细设计</w:t>
      </w:r>
      <w:r>
        <w:tab/>
      </w:r>
      <w:r>
        <w:fldChar w:fldCharType="begin"/>
      </w:r>
      <w:r>
        <w:instrText xml:space="preserve"> PAGEREF _Toc22414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pStyle w:val="2"/>
        <w:ind w:firstLine="883" w:firstLineChars="200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0" w:name="_Toc25246"/>
      <w:r>
        <w:rPr>
          <w:rFonts w:hint="eastAsia"/>
        </w:rPr>
        <w:t>1    引言</w:t>
      </w:r>
      <w:bookmarkEnd w:id="0"/>
    </w:p>
    <w:p>
      <w:pPr>
        <w:pStyle w:val="4"/>
      </w:pPr>
      <w:bookmarkStart w:id="1" w:name="_Toc2269"/>
      <w:r>
        <w:rPr>
          <w:rFonts w:hint="eastAsia"/>
        </w:rPr>
        <w:t>1.1     编写目的</w:t>
      </w:r>
      <w:bookmarkEnd w:id="1"/>
    </w:p>
    <w:p>
      <w:pPr>
        <w:ind w:firstLine="560" w:firstLineChars="200"/>
      </w:pPr>
      <w:r>
        <w:rPr>
          <w:rFonts w:hint="eastAsia"/>
        </w:rPr>
        <w:t>说明</w:t>
      </w:r>
      <w:r>
        <w:rPr>
          <w:rFonts w:hint="eastAsia"/>
          <w:lang w:val="en-US" w:eastAsia="zh-CN"/>
        </w:rPr>
        <w:t>leader 身份计算服务</w:t>
      </w:r>
      <w:r>
        <w:rPr>
          <w:rFonts w:hint="eastAsia"/>
        </w:rPr>
        <w:t>与其它模块的交互和设计考虑，为程序员编码提供依据。</w:t>
      </w:r>
    </w:p>
    <w:p>
      <w:pPr>
        <w:pStyle w:val="4"/>
      </w:pPr>
      <w:bookmarkStart w:id="2" w:name="_Toc29631"/>
      <w:r>
        <w:rPr>
          <w:rFonts w:hint="eastAsia"/>
        </w:rPr>
        <w:t>1.2    背景</w:t>
      </w:r>
      <w:bookmarkEnd w:id="2"/>
    </w:p>
    <w:p>
      <w:pPr>
        <w:ind w:firstLine="560" w:firstLineChars="200"/>
      </w:pPr>
      <w:r>
        <w:rPr>
          <w:rFonts w:hint="eastAsia"/>
        </w:rPr>
        <w:t xml:space="preserve">开发版本：0730 </w:t>
      </w:r>
      <w:r>
        <w:rPr>
          <w:rFonts w:hint="eastAsia"/>
        </w:rPr>
        <w:tab/>
      </w:r>
    </w:p>
    <w:p>
      <w:pPr>
        <w:ind w:firstLine="560" w:firstLineChars="200"/>
      </w:pPr>
      <w:r>
        <w:rPr>
          <w:rFonts w:hint="eastAsia"/>
        </w:rPr>
        <w:t>开发小组：算法组</w:t>
      </w:r>
    </w:p>
    <w:p>
      <w:pPr>
        <w:ind w:firstLine="560" w:firstLineChars="200"/>
      </w:pPr>
      <w:r>
        <w:rPr>
          <w:rFonts w:hint="eastAsia"/>
        </w:rPr>
        <w:t>模块描述：</w:t>
      </w:r>
      <w:r>
        <w:rPr>
          <w:rFonts w:hint="eastAsia"/>
          <w:lang w:val="en-US" w:eastAsia="zh-CN"/>
        </w:rPr>
        <w:t>leader 身份计算服务根据块高计算某轮次的leader。缓存当前leader；收到更换leader结果消息时缓存新leader，然后发出leader变更消息。</w:t>
      </w:r>
      <w:r>
        <w:rPr>
          <w:rFonts w:hint="eastAsia"/>
        </w:rPr>
        <w:t xml:space="preserve"> </w:t>
      </w:r>
    </w:p>
    <w:p>
      <w:pPr>
        <w:pStyle w:val="4"/>
      </w:pPr>
      <w:bookmarkStart w:id="3" w:name="_Toc16045"/>
      <w:r>
        <w:rPr>
          <w:rFonts w:hint="eastAsia"/>
        </w:rPr>
        <w:t>1.3    参考资料</w:t>
      </w:r>
      <w:bookmarkEnd w:id="3"/>
    </w:p>
    <w:p>
      <w:pPr>
        <w:ind w:firstLine="560" w:firstLineChars="200"/>
      </w:pPr>
      <w:r>
        <w:rPr>
          <w:rFonts w:hint="eastAsia"/>
        </w:rPr>
        <w:t>以太坊源码</w:t>
      </w:r>
    </w:p>
    <w:p>
      <w:pPr>
        <w:pStyle w:val="4"/>
      </w:pPr>
      <w:bookmarkStart w:id="4" w:name="_Toc3539"/>
      <w:r>
        <w:rPr>
          <w:rFonts w:hint="eastAsia"/>
        </w:rPr>
        <w:t>1.4   术语定义及说明</w:t>
      </w:r>
      <w:bookmarkEnd w:id="4"/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块高：区块高度。</w:t>
      </w:r>
    </w:p>
    <w:p>
      <w:pPr>
        <w:ind w:firstLine="560" w:firstLineChars="200"/>
        <w:rPr>
          <w:rFonts w:hint="eastAsia"/>
        </w:rPr>
      </w:pPr>
      <w:r>
        <w:rPr>
          <w:rFonts w:hint="eastAsia"/>
          <w:lang w:eastAsia="zh-CN"/>
        </w:rPr>
        <w:t>当前轮次：上次进行</w:t>
      </w:r>
      <w:r>
        <w:rPr>
          <w:rFonts w:hint="eastAsia"/>
          <w:lang w:val="en-US" w:eastAsia="zh-CN"/>
        </w:rPr>
        <w:t>leader选举时的块高</w:t>
      </w:r>
      <w:r>
        <w:rPr>
          <w:rFonts w:hint="eastAsia"/>
        </w:rPr>
        <w:t>。</w:t>
      </w:r>
    </w:p>
    <w:p>
      <w:pPr>
        <w:pStyle w:val="3"/>
      </w:pPr>
      <w:bookmarkStart w:id="5" w:name="_Toc22654"/>
      <w:r>
        <w:rPr>
          <w:rFonts w:hint="eastAsia"/>
        </w:rPr>
        <w:t>2  设计概述</w:t>
      </w:r>
      <w:bookmarkEnd w:id="5"/>
    </w:p>
    <w:p>
      <w:pPr>
        <w:pStyle w:val="4"/>
      </w:pPr>
      <w:bookmarkStart w:id="6" w:name="_Toc14425"/>
      <w:r>
        <w:rPr>
          <w:rFonts w:hint="eastAsia"/>
        </w:rPr>
        <w:t>2.1   任务和目标</w:t>
      </w:r>
      <w:bookmarkEnd w:id="6"/>
    </w:p>
    <w:p>
      <w:pPr>
        <w:ind w:firstLine="420" w:firstLineChars="0"/>
      </w:pPr>
      <w:r>
        <w:rPr>
          <w:rFonts w:hint="eastAsia"/>
        </w:rPr>
        <w:t>1 详细说明</w:t>
      </w:r>
      <w:r>
        <w:rPr>
          <w:rFonts w:hint="eastAsia"/>
          <w:lang w:eastAsia="zh-CN"/>
        </w:rPr>
        <w:t>leader身份计算服务</w:t>
      </w:r>
      <w:r>
        <w:rPr>
          <w:rFonts w:hint="eastAsia"/>
        </w:rPr>
        <w:t>与其它模块之间的接口。</w:t>
      </w:r>
    </w:p>
    <w:p>
      <w:pPr>
        <w:ind w:firstLine="420" w:firstLineChars="0"/>
      </w:pPr>
      <w:r>
        <w:rPr>
          <w:rFonts w:hint="eastAsia"/>
        </w:rPr>
        <w:t>2 详细说明</w:t>
      </w:r>
      <w:r>
        <w:rPr>
          <w:rFonts w:hint="eastAsia"/>
          <w:lang w:eastAsia="zh-CN"/>
        </w:rPr>
        <w:t>leader身份计算服务</w:t>
      </w:r>
      <w:r>
        <w:rPr>
          <w:rFonts w:hint="eastAsia"/>
        </w:rPr>
        <w:t>的内部设计。</w:t>
      </w:r>
    </w:p>
    <w:p>
      <w:pPr>
        <w:pStyle w:val="4"/>
      </w:pPr>
      <w:bookmarkStart w:id="7" w:name="_Toc24742"/>
      <w:r>
        <w:rPr>
          <w:rFonts w:hint="eastAsia"/>
        </w:rPr>
        <w:t>2.1.1      需求概述</w:t>
      </w:r>
      <w:bookmarkEnd w:id="7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leader身份计算服务</w:t>
      </w:r>
      <w:r>
        <w:rPr>
          <w:rFonts w:hint="eastAsia"/>
        </w:rPr>
        <w:t>的主要功能是</w:t>
      </w:r>
      <w:r>
        <w:rPr>
          <w:rFonts w:hint="eastAsia"/>
          <w:lang w:eastAsia="zh-CN"/>
        </w:rPr>
        <w:t>计算出当前轮次的</w:t>
      </w:r>
      <w:r>
        <w:rPr>
          <w:rFonts w:hint="eastAsia"/>
          <w:lang w:val="en-US" w:eastAsia="zh-CN"/>
        </w:rPr>
        <w:t>leader</w:t>
      </w:r>
    </w:p>
    <w:p>
      <w:pPr>
        <w:ind w:firstLine="560" w:firstLineChars="200"/>
      </w:pPr>
      <w:r>
        <w:rPr>
          <w:rFonts w:hint="eastAsia"/>
        </w:rPr>
        <w:t>接收并处理ＣＡ或者</w:t>
      </w:r>
      <w:r>
        <w:rPr>
          <w:rFonts w:hint="eastAsia"/>
          <w:lang w:val="en-US" w:eastAsia="zh-CN"/>
        </w:rPr>
        <w:t>leader身份服务</w:t>
      </w:r>
      <w:r>
        <w:rPr>
          <w:rFonts w:hint="eastAsia"/>
        </w:rPr>
        <w:t>发出的各种消息，主要包括</w:t>
      </w:r>
      <w:r>
        <w:rPr>
          <w:rFonts w:hint="eastAsia"/>
          <w:lang w:eastAsia="zh-CN"/>
        </w:rPr>
        <w:t>身份消息、</w:t>
      </w:r>
      <w:r>
        <w:rPr>
          <w:rFonts w:hint="eastAsia"/>
          <w:lang w:val="en-US" w:eastAsia="zh-CN"/>
        </w:rPr>
        <w:t>leader更换消息、新区块到达消息、区块插入消息</w:t>
      </w:r>
      <w:r>
        <w:rPr>
          <w:rFonts w:hint="eastAsia"/>
        </w:rPr>
        <w:t>等。</w:t>
      </w:r>
    </w:p>
    <w:p>
      <w:pPr>
        <w:pStyle w:val="4"/>
        <w:rPr>
          <w:rFonts w:hint="eastAsia" w:eastAsiaTheme="minorEastAsia"/>
          <w:lang w:eastAsia="zh-CN"/>
        </w:rPr>
      </w:pPr>
      <w:bookmarkStart w:id="8" w:name="_Toc14803"/>
      <w:r>
        <w:rPr>
          <w:rFonts w:hint="eastAsia"/>
        </w:rPr>
        <w:t xml:space="preserve">2.1.2      </w:t>
      </w:r>
      <w:bookmarkEnd w:id="8"/>
      <w:r>
        <w:rPr>
          <w:rFonts w:hint="eastAsia"/>
          <w:lang w:eastAsia="zh-CN"/>
        </w:rPr>
        <w:t>输入与输出</w:t>
      </w:r>
    </w:p>
    <w:p>
      <w:pPr>
        <w:pStyle w:val="12"/>
        <w:numPr>
          <w:ilvl w:val="0"/>
          <w:numId w:val="1"/>
        </w:numPr>
        <w:ind w:firstLineChars="0"/>
        <w:rPr>
          <w:sz w:val="28"/>
        </w:rPr>
      </w:pPr>
      <w:bookmarkStart w:id="9" w:name="_Toc31489"/>
      <w:r>
        <w:rPr>
          <w:rFonts w:hint="eastAsia"/>
          <w:sz w:val="28"/>
        </w:rPr>
        <w:t>输入：</w:t>
      </w:r>
    </w:p>
    <w:tbl>
      <w:tblPr>
        <w:tblStyle w:val="11"/>
        <w:tblW w:w="852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982"/>
        <w:gridCol w:w="1583"/>
        <w:gridCol w:w="1320"/>
        <w:gridCol w:w="1260"/>
        <w:gridCol w:w="1865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583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320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来源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新区块</w:t>
            </w:r>
            <w:r>
              <w:rPr>
                <w:rFonts w:ascii="华文宋体" w:hAnsi="华文宋体" w:eastAsia="华文宋体" w:cstheme="majorBidi"/>
                <w:b/>
                <w:bCs/>
                <w:szCs w:val="21"/>
              </w:rPr>
              <w:t>H</w:t>
            </w: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eade</w:t>
            </w:r>
            <w:bookmarkStart w:id="20" w:name="_GoBack"/>
            <w:bookmarkEnd w:id="20"/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r准备完毕消息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583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header头</w:t>
            </w:r>
          </w:p>
        </w:tc>
        <w:tc>
          <w:tcPr>
            <w:tcW w:w="132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区块生成服务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矿工挖矿结果验证完毕后的消息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更换leader结果消息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待定</w:t>
            </w:r>
          </w:p>
        </w:tc>
        <w:tc>
          <w:tcPr>
            <w:tcW w:w="1583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ascii="华文宋体" w:hAnsi="华文宋体" w:eastAsia="华文宋体" w:cstheme="majorBidi"/>
                <w:szCs w:val="21"/>
              </w:rPr>
              <w:t>N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odeID字符串</w:t>
            </w:r>
          </w:p>
        </w:tc>
        <w:tc>
          <w:tcPr>
            <w:tcW w:w="132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ascii="华文宋体" w:hAnsi="华文宋体" w:eastAsia="华文宋体" w:cstheme="majorBidi"/>
                <w:szCs w:val="21"/>
              </w:rPr>
              <w:t>L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eader更换控制服务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字符串为空表示当前无leader</w:t>
            </w:r>
          </w:p>
        </w:tc>
      </w:tr>
    </w:tbl>
    <w:p>
      <w:pPr>
        <w:rPr>
          <w:sz w:val="28"/>
        </w:rPr>
      </w:pPr>
    </w:p>
    <w:p>
      <w:pPr>
        <w:pStyle w:val="12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输出：</w:t>
      </w:r>
    </w:p>
    <w:tbl>
      <w:tblPr>
        <w:tblStyle w:val="11"/>
        <w:tblW w:w="847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981"/>
        <w:gridCol w:w="1875"/>
        <w:gridCol w:w="1417"/>
        <w:gridCol w:w="2694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ascii="华文宋体" w:hAnsi="华文宋体" w:eastAsia="华文宋体" w:cstheme="majorBidi"/>
                <w:b/>
                <w:bCs/>
                <w:szCs w:val="21"/>
              </w:rPr>
              <w:t>L</w:t>
            </w: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eader变更消息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ascii="华文宋体" w:hAnsi="华文宋体" w:eastAsia="华文宋体" w:cstheme="majorBidi"/>
                <w:szCs w:val="21"/>
              </w:rPr>
              <w:t>N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odeID字符串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消息通知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字符串为空表示当前无leader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当前Leader查询接口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无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ascii="华文宋体" w:hAnsi="华文宋体" w:eastAsia="华文宋体" w:cstheme="majorBidi"/>
                <w:szCs w:val="21"/>
              </w:rPr>
              <w:t>N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odeID字符串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接口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同上</w:t>
            </w:r>
          </w:p>
        </w:tc>
      </w:tr>
    </w:tbl>
    <w:p>
      <w:pPr>
        <w:pStyle w:val="4"/>
      </w:pPr>
      <w:r>
        <w:rPr>
          <w:rFonts w:hint="eastAsia"/>
        </w:rPr>
        <w:t>2.1.3      条件与限制</w:t>
      </w:r>
      <w:bookmarkEnd w:id="9"/>
    </w:p>
    <w:p>
      <w:pPr>
        <w:pStyle w:val="4"/>
      </w:pPr>
      <w:bookmarkStart w:id="10" w:name="_Toc18570"/>
      <w:r>
        <w:rPr>
          <w:rFonts w:hint="eastAsia"/>
        </w:rPr>
        <w:t>2.1.4      详细设计方法和工具</w:t>
      </w:r>
      <w:bookmarkEnd w:id="10"/>
    </w:p>
    <w:p>
      <w:pPr>
        <w:ind w:firstLine="560" w:firstLineChars="200"/>
      </w:pPr>
      <w:r>
        <w:rPr>
          <w:rFonts w:hint="eastAsia"/>
        </w:rPr>
        <w:t>流程图。</w:t>
      </w:r>
    </w:p>
    <w:p>
      <w:pPr>
        <w:pStyle w:val="3"/>
      </w:pPr>
      <w:bookmarkStart w:id="11" w:name="_Toc1826"/>
      <w:r>
        <w:rPr>
          <w:rFonts w:hint="eastAsia"/>
        </w:rPr>
        <w:t>3  模块详细分析</w:t>
      </w:r>
      <w:bookmarkEnd w:id="11"/>
    </w:p>
    <w:p>
      <w:pPr>
        <w:pStyle w:val="4"/>
        <w:rPr>
          <w:rFonts w:hint="eastAsia" w:eastAsiaTheme="minorEastAsia"/>
          <w:lang w:eastAsia="zh-CN"/>
        </w:rPr>
      </w:pPr>
      <w:bookmarkStart w:id="12" w:name="_Toc1645"/>
      <w:r>
        <w:rPr>
          <w:rFonts w:hint="eastAsia"/>
        </w:rPr>
        <w:t>3.1创建</w:t>
      </w:r>
      <w:bookmarkEnd w:id="12"/>
      <w:r>
        <w:rPr>
          <w:rFonts w:hint="eastAsia"/>
          <w:lang w:eastAsia="zh-CN"/>
        </w:rPr>
        <w:t>leader身份计算服务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创建leader身份计算服务的实例，并对其中的成员进行初始化。进行身份消息、区块插入消息、新区块到达消息等的订阅。</w:t>
      </w:r>
    </w:p>
    <w:p>
      <w:pPr>
        <w:ind w:firstLine="560" w:firstLineChars="200"/>
      </w:pPr>
      <w:r>
        <w:rPr>
          <w:rFonts w:hint="eastAsia"/>
        </w:rPr>
        <w:t xml:space="preserve">最后启动计算服务：go </w:t>
      </w:r>
      <w:r>
        <w:rPr>
          <w:rFonts w:hint="eastAsia"/>
          <w:lang w:val="en-US" w:eastAsia="zh-CN"/>
        </w:rPr>
        <w:t>LeaderCalc</w:t>
      </w:r>
      <w:r>
        <w:rPr>
          <w:rFonts w:hint="eastAsia"/>
        </w:rPr>
        <w:t>.update()</w:t>
      </w:r>
    </w:p>
    <w:p>
      <w:pPr>
        <w:ind w:firstLine="560" w:firstLineChars="200"/>
      </w:pPr>
      <w:r>
        <w:rPr>
          <w:rFonts w:hint="eastAsia"/>
        </w:rPr>
        <w:t>并返回该对象</w:t>
      </w:r>
    </w:p>
    <w:p>
      <w:pPr>
        <w:pStyle w:val="4"/>
      </w:pPr>
      <w:bookmarkStart w:id="13" w:name="_Toc1347"/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身份变更消息</w:t>
      </w:r>
      <w:r>
        <w:rPr>
          <w:rFonts w:hint="eastAsia"/>
        </w:rPr>
        <w:t>：</w:t>
      </w:r>
      <w:bookmarkEnd w:id="1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收到从</w:t>
      </w:r>
      <w:r>
        <w:rPr>
          <w:rFonts w:hint="eastAsia"/>
          <w:lang w:val="en-US" w:eastAsia="zh-CN"/>
        </w:rPr>
        <w:t>ca发来的身份变更消息。</w:t>
      </w:r>
      <w:r>
        <w:rPr>
          <w:rFonts w:hint="eastAsia"/>
          <w:lang w:eastAsia="zh-CN"/>
        </w:rPr>
        <w:t>如果当前不是验证者节点，收到验证者消息，则启动</w:t>
      </w:r>
      <w:r>
        <w:rPr>
          <w:rFonts w:hint="eastAsia"/>
          <w:lang w:val="en-US" w:eastAsia="zh-CN"/>
        </w:rPr>
        <w:t>leader身份计算协程；如果当前是验证者节点，收到非验证者消息，则关闭leader身份计算协程。</w:t>
      </w:r>
    </w:p>
    <w:p>
      <w:pPr>
        <w:pStyle w:val="4"/>
      </w:pPr>
      <w:bookmarkStart w:id="14" w:name="_Toc18634"/>
      <w:r>
        <w:rPr>
          <w:rFonts w:hint="eastAsia"/>
        </w:rPr>
        <w:t>3.3 收到</w:t>
      </w:r>
      <w:r>
        <w:rPr>
          <w:rFonts w:hint="eastAsia"/>
          <w:lang w:eastAsia="zh-CN"/>
        </w:rPr>
        <w:t>新区块到达和</w:t>
      </w:r>
      <w:r>
        <w:rPr>
          <w:rFonts w:hint="eastAsia"/>
          <w:lang w:val="en-US" w:eastAsia="zh-CN"/>
        </w:rPr>
        <w:t>blockchain区块插入</w:t>
      </w:r>
      <w:r>
        <w:rPr>
          <w:rFonts w:hint="eastAsia"/>
        </w:rPr>
        <w:t>消息：</w:t>
      </w:r>
      <w:bookmarkEnd w:id="14"/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从消息中获取区块高度</w:t>
      </w:r>
      <w:r>
        <w:rPr>
          <w:rFonts w:hint="eastAsia"/>
          <w:lang w:val="en-US" w:eastAsia="zh-CN"/>
        </w:rPr>
        <w:t>n和leaderId。如果当前轮次小于n+1，则再判断n+1是否是广播轮次。如果是则广播节点为新leader；如果不是则通过leader轮换引擎接口获取新leaderId。接下来缓存新leaderId。如果新leaderId发生变化，则发送leader变更消息。</w:t>
      </w:r>
    </w:p>
    <w:p>
      <w:pPr>
        <w:pStyle w:val="4"/>
      </w:pPr>
      <w:bookmarkStart w:id="15" w:name="_Toc23435"/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更换</w:t>
      </w:r>
      <w:r>
        <w:rPr>
          <w:rFonts w:hint="eastAsia"/>
          <w:lang w:val="en-US" w:eastAsia="zh-CN"/>
        </w:rPr>
        <w:t>leader通知消息</w:t>
      </w:r>
      <w:r>
        <w:rPr>
          <w:rFonts w:hint="eastAsia"/>
        </w:rPr>
        <w:t>：</w:t>
      </w:r>
      <w:bookmarkEnd w:id="15"/>
    </w:p>
    <w:p>
      <w:pPr>
        <w:ind w:firstLine="560" w:firstLineChars="200"/>
      </w:pPr>
      <w:r>
        <w:rPr>
          <w:rFonts w:hint="eastAsia"/>
          <w:lang w:eastAsia="zh-CN"/>
        </w:rPr>
        <w:t>收到由</w:t>
      </w:r>
      <w:r>
        <w:rPr>
          <w:rFonts w:hint="eastAsia"/>
          <w:lang w:val="en-US" w:eastAsia="zh-CN"/>
        </w:rPr>
        <w:t>leader更换控制服务发来的更换leader通知消息后，更新缓存的leaderId，如果有变化则发出leader变更消息</w:t>
      </w:r>
      <w:r>
        <w:rPr>
          <w:rFonts w:hint="eastAsia"/>
        </w:rPr>
        <w:t>。</w:t>
      </w:r>
    </w:p>
    <w:p>
      <w:pPr>
        <w:pStyle w:val="3"/>
      </w:pPr>
      <w:bookmarkStart w:id="16" w:name="_Toc18076"/>
      <w:r>
        <w:rPr>
          <w:rFonts w:hint="eastAsia"/>
        </w:rPr>
        <w:t>4   模块详细设计</w:t>
      </w:r>
      <w:bookmarkEnd w:id="16"/>
    </w:p>
    <w:p>
      <w:pPr>
        <w:pStyle w:val="4"/>
      </w:pPr>
      <w:bookmarkStart w:id="17" w:name="_Toc8997"/>
      <w:r>
        <w:rPr>
          <w:rFonts w:hint="eastAsia"/>
        </w:rPr>
        <w:t>4.1    模块结构设计</w:t>
      </w:r>
      <w:bookmarkEnd w:id="17"/>
    </w:p>
    <w:p>
      <w:pPr>
        <w:pStyle w:val="4"/>
        <w:rPr>
          <w:rFonts w:hint="eastAsia"/>
        </w:rPr>
      </w:pPr>
      <w:bookmarkStart w:id="18" w:name="_Toc22414"/>
      <w:r>
        <w:rPr>
          <w:rFonts w:hint="eastAsia"/>
        </w:rPr>
        <w:t>4.2    功能详细设计</w:t>
      </w:r>
      <w:bookmarkEnd w:id="18"/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主要数据结构：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type LeaderCalc struct {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newCACh  chan newCAEvent //CA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newCASub event.Subscription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role int //-1: not found. 0: super miner 1:non-super miner 2:super verifier 3:non-super verifier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chainHeadCh  chan headerEvent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chainHeadSub event.Subscription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//chainBlockCh  chan core.ChainEvent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chainBlockCh  chan blockEvent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chainBlockSub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leaderChangeCh  chan leaderChangeEvent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leaderChangeSub event.Subscription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quitCh chan int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curNumber uint64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缓存当前的</w:t>
      </w:r>
      <w:r>
        <w:rPr>
          <w:rFonts w:hint="eastAsia"/>
          <w:lang w:val="en-US" w:eastAsia="zh-CN"/>
        </w:rPr>
        <w:t>leader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type curLeader struct {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leaderId string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lock     sync.RWMutex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主要函数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函数名称： </w:t>
      </w:r>
      <w:r>
        <w:rPr>
          <w:rFonts w:hint="eastAsia"/>
          <w:lang w:val="en-US" w:eastAsia="zh-CN"/>
        </w:rPr>
        <w:t>update()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收到身份变更消息时调用身份变更消息处理函数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输入：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收到身份变更消息后调用</w:t>
      </w:r>
      <w:r>
        <w:rPr>
          <w:rFonts w:hint="eastAsia"/>
        </w:rPr>
        <w:t>newCaRoleHandle</w:t>
      </w:r>
      <w:r>
        <w:rPr>
          <w:rFonts w:hint="eastAsia"/>
          <w:lang w:eastAsia="zh-CN"/>
        </w:rPr>
        <w:t>进行相应处理。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</w:rPr>
      </w:pPr>
      <w:bookmarkStart w:id="19" w:name="OLE_LINK1"/>
      <w:r>
        <w:rPr>
          <w:rFonts w:hint="eastAsia"/>
        </w:rPr>
        <w:t>函数名称： newCaRoleHandle(data newCAEvent)</w:t>
      </w:r>
    </w:p>
    <w:p>
      <w:pPr>
        <w:ind w:firstLine="560" w:firstLineChars="200"/>
      </w:pPr>
      <w:r>
        <w:rPr>
          <w:rFonts w:hint="eastAsia"/>
        </w:rPr>
        <w:t>函数功能：处理收到的本地挖矿请求信息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身份变更消息中的新角色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bookmarkEnd w:id="19"/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0490" cy="5923915"/>
            <wp:effectExtent l="0" t="0" r="10160" b="635"/>
            <wp:docPr id="1" name="图片 1" descr="身份更换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身份更换消息处理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  <w:r>
        <w:rPr>
          <w:rFonts w:hint="eastAsia"/>
        </w:rPr>
        <w:t>函数名称： changeLeaderHandle()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收到更换</w:t>
      </w:r>
      <w:r>
        <w:rPr>
          <w:rFonts w:hint="eastAsia"/>
          <w:lang w:val="en-US" w:eastAsia="zh-CN"/>
        </w:rPr>
        <w:t>leader结果消息，缓存新leader，发送leader变更消息。</w:t>
      </w:r>
    </w:p>
    <w:p>
      <w:pPr>
        <w:ind w:firstLine="560" w:firstLineChars="200"/>
      </w:pPr>
      <w:r>
        <w:rPr>
          <w:rFonts w:hint="eastAsia"/>
        </w:rPr>
        <w:t>输入：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0250" cy="3256915"/>
            <wp:effectExtent l="0" t="0" r="0" b="635"/>
            <wp:docPr id="4" name="图片 4" descr="更换leader通知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更换leader通知消息处理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  <w:r>
        <w:rPr>
          <w:rFonts w:hint="eastAsia"/>
        </w:rPr>
        <w:t>函数名称：calculateLeader(data.blockNum, data.leader)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函数功能：处理收到的新区块到达信息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blockchain区块插入消息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块高、</w:t>
      </w:r>
      <w:r>
        <w:rPr>
          <w:rFonts w:hint="eastAsia"/>
          <w:lang w:val="en-US" w:eastAsia="zh-CN"/>
        </w:rPr>
        <w:t>leader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9815" cy="8009255"/>
            <wp:effectExtent l="0" t="0" r="635" b="10795"/>
            <wp:docPr id="3" name="图片 3" descr="新区块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区块消息处理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  <w:r>
        <w:rPr>
          <w:rFonts w:hint="eastAsia"/>
        </w:rPr>
        <w:t>函数名称： setCurrentLeader(id string)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缓存当前</w:t>
      </w:r>
      <w:r>
        <w:rPr>
          <w:rFonts w:hint="eastAsia"/>
          <w:lang w:val="en-US" w:eastAsia="zh-CN"/>
        </w:rPr>
        <w:t>leader Id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要缓存的</w:t>
      </w:r>
      <w:r>
        <w:rPr>
          <w:rFonts w:hint="eastAsia"/>
          <w:lang w:val="en-US" w:eastAsia="zh-CN"/>
        </w:rPr>
        <w:t>leader id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输出：</w:t>
      </w:r>
      <w:r>
        <w:rPr>
          <w:rFonts w:hint="eastAsia"/>
          <w:lang w:eastAsia="zh-CN"/>
        </w:rPr>
        <w:t>无</w:t>
      </w:r>
    </w:p>
    <w:p>
      <w:pPr>
        <w:ind w:firstLine="560" w:firstLineChars="200"/>
      </w:pPr>
    </w:p>
    <w:p>
      <w:pPr>
        <w:ind w:firstLine="560" w:firstLineChars="200"/>
      </w:pPr>
      <w:r>
        <w:rPr>
          <w:rFonts w:hint="eastAsia"/>
        </w:rPr>
        <w:t>函数名称： getCurrentLeader() string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获取当前缓存的</w:t>
      </w:r>
      <w:r>
        <w:rPr>
          <w:rFonts w:hint="eastAsia"/>
          <w:lang w:val="en-US" w:eastAsia="zh-CN"/>
        </w:rPr>
        <w:t>leader id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无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eastAsia="zh-CN"/>
        </w:rPr>
        <w:t>当前</w:t>
      </w:r>
      <w:r>
        <w:rPr>
          <w:rFonts w:hint="eastAsia"/>
          <w:lang w:val="en-US" w:eastAsia="zh-CN"/>
        </w:rPr>
        <w:t>leader id</w:t>
      </w: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ind w:firstLine="56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50C84"/>
    <w:multiLevelType w:val="multilevel"/>
    <w:tmpl w:val="2BB50C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17A33"/>
    <w:rsid w:val="11420E1C"/>
    <w:rsid w:val="161E32C4"/>
    <w:rsid w:val="1FC73A0F"/>
    <w:rsid w:val="3BAE31B4"/>
    <w:rsid w:val="4F9067B1"/>
    <w:rsid w:val="54E17A33"/>
    <w:rsid w:val="5D73731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table" w:styleId="11">
    <w:name w:val="Light Grid Accent 1"/>
    <w:basedOn w:val="10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2018-08-05T07:31:00Z</dcterms:created>
  <dc:creator>alvin</dc:creator>
  <cp:lastModifiedBy>alvin</cp:lastModifiedBy>
  <dcterms:modified xsi:type="dcterms:W3CDTF">2018-08-06T03:57:40Z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