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Kindly find below the details to be added to the 2 exercises using Oracle Mobile cloud Services: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Usernames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mcs-demo_user01 - To access Backend, API etc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mcs-max_user01 - To access MAX (Mobile Application Accelerators)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mcs-mobile_user01 - To test user on Max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Login Password</w:t>
      </w:r>
      <w:r w:rsidDel="00000000" w:rsidR="00000000" w:rsidRPr="00000000">
        <w:rPr>
          <w:rtl w:val="0"/>
        </w:rPr>
        <w:t xml:space="preserve">:   horridOvercast@7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Identity Domain</w:t>
      </w:r>
      <w:r w:rsidDel="00000000" w:rsidR="00000000" w:rsidRPr="00000000">
        <w:rPr>
          <w:rtl w:val="0"/>
        </w:rPr>
        <w:t xml:space="preserve"> :           </w:t>
        <w:tab/>
        <w:t xml:space="preserve">  gse00011723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Url to log in: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"http://cloud.oracle.com"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cloud.oracle.com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Sign in at the top of the page.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Traditional Cloud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Datacenter : US commercial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 (US2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Mobile Cloud Services Information: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"https://docs.oracle.com/en/cloud/paas/mobile-cloud/index.html"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https://docs.oracle.com/en/cloud/paas/mobile-cloud/index.html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Tutorials: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"http://www.oracle.com/webfolder/technetwork/tutorials/cloud/ocms/OCMS_MBE_OBE_tutorial.html#section6s2"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http://www.oracle.com/webfolder/technetwork/tutorials/cloud/ocms/OCMS_MBE_OBE_tutorial.html#section6s2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"http://docs.oracle.com/cd/E65774_01/tutorials/tut_mcs_one_day_v3_3/tut_mcs_one_day_1.html#section1"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http://docs.oracle.com/cd/E65774_01/tutorials/tut_mcs_one_day_v3_3/tut_mcs_one_day_1.html#section1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"http://docs.oracle.com/cd/E65774_01/tutorials/tut_mcs_max_short/tut_mcs_max_short_1.html#section7"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http://docs.oracle.com/cd/E65774_01/tutorials/tut_mcs_max_short/tut_mcs_max_short_1.html#section7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 Designer Youtube Video: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"https://www.youtube.com/embed/mK3PCfumZyw?autoplay=1"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https://www.youtube.com/embed/mK3PCfumZyw?autoplay=1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"https://www.youtube.com/embed/fkYCluyqVDk?autoplay=1"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https://www.youtube.com/embed/fkYCluyqVDk?autoplay=1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http://docs.oracle.com/cd/E65774_01/tutorials/toc_3_3.html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loud.oracle.com" TargetMode="External"/><Relationship Id="rId6" Type="http://schemas.openxmlformats.org/officeDocument/2006/relationships/hyperlink" Target="https://maps.google.com/?q=2+(US2&amp;entry=gmail&amp;source=g" TargetMode="External"/><Relationship Id="rId7" Type="http://schemas.openxmlformats.org/officeDocument/2006/relationships/hyperlink" Target="https://maps.google.com/?q=2+(US2&amp;entry=gmail&amp;source=g" TargetMode="External"/><Relationship Id="rId8" Type="http://schemas.openxmlformats.org/officeDocument/2006/relationships/hyperlink" Target="http://docs.oracle.com/cd/E65774_01/tutorials/toc_3_3.html" TargetMode="External"/></Relationships>
</file>