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0"/>
          <w:szCs w:val="40"/>
        </w:rPr>
        <w:t xml:space="preserve">Equity Outlook Synthesis — Q2 2026</w:t>
      </w:r>
    </w:p>
    <w:p>
      <w:pPr>
        <w:spacing w:after="60"/>
      </w:pPr>
      <w:r>
        <w:rPr>
          <w:i/>
          <w:iCs/>
          <w:color w:val="555555"/>
          <w:sz w:val="22"/>
          <w:szCs w:val="22"/>
        </w:rPr>
        <w:t xml:space="preserve">Cross-manager research compiled for internal client memo drafting</w:t>
      </w:r>
    </w:p>
    <w:p>
      <w:pPr>
        <w:spacing w:after="240"/>
      </w:pPr>
      <w:r>
        <w:rPr>
          <w:color w:val="777777"/>
          <w:sz w:val="18"/>
          <w:szCs w:val="18"/>
        </w:rPr>
        <w:t xml:space="preserve">Prepared: May 28, 2026 • Sources: BlackRock, Russell Investments, Morningstar, Dimensional, Goldman Sachs, Morgan Stanley</w:t>
      </w:r>
    </w:p>
    <w:p>
      <w:pPr>
        <w:pStyle w:val="Heading1"/>
      </w:pPr>
      <w:r>
        <w:t xml:space="preserve">Executive Summary</w:t>
      </w:r>
    </w:p>
    <w:p>
      <w:pPr>
        <w:spacing w:after="120"/>
      </w:pPr>
      <w:r>
        <w:t xml:space="preserve">Across the six asset managers surveyed for Q2 2026, the dominant macro narrative is the maturation of the AI investment cycle — the trade is moving from broad enthusiasm to differentiation between companies that can demonstrate returns on AI capital expenditure and those that cannot.</w:t>
      </w:r>
      <w:r>
        <w:rPr>
          <w:vertAlign w:val="superscript"/>
        </w:rPr>
        <w:t xml:space="preserve"> [6]</w:t>
      </w:r>
      <w:r>
        <w:rPr>
          <w:vertAlign w:val="superscript"/>
        </w:rPr>
        <w:t xml:space="preserve"> [11]</w:t>
      </w:r>
      <w:r>
        <w:rPr>
          <w:vertAlign w:val="superscript"/>
        </w:rPr>
        <w:t xml:space="preserve"> [13]</w:t>
      </w:r>
    </w:p>
    <w:p>
      <w:pPr>
        <w:spacing w:after="120"/>
      </w:pPr>
      <w:r>
        <w:t xml:space="preserve">Most managers retain a constructive but more selective stance on global equities. Morgan Stanley's Global Investment Committee is the most directionally bullish with an explicit S&amp;P 500 target of 8,300 and expected 23% EPS growth for 2026.</w:t>
      </w:r>
      <w:r>
        <w:rPr>
          <w:vertAlign w:val="superscript"/>
        </w:rPr>
        <w:t xml:space="preserve"> [14]</w:t>
      </w:r>
      <w:r>
        <w:t xml:space="preserve"> BlackRock remains overweight US equities and prefers leaning into AI concentration rather than diversifying away from it.</w:t>
      </w:r>
      <w:r>
        <w:rPr>
          <w:vertAlign w:val="superscript"/>
        </w:rPr>
        <w:t xml:space="preserve"> [1]</w:t>
      </w:r>
      <w:r>
        <w:rPr>
          <w:vertAlign w:val="superscript"/>
        </w:rPr>
        <w:t xml:space="preserve"> [2]</w:t>
      </w:r>
      <w:r>
        <w:t xml:space="preserve"> Goldman Sachs ISG continues to frame US equities through a 'US Preeminence' lens while flagging emerging-market equities as a standout opportunity.</w:t>
      </w:r>
      <w:r>
        <w:rPr>
          <w:vertAlign w:val="superscript"/>
        </w:rPr>
        <w:t xml:space="preserve"> [10]</w:t>
      </w:r>
      <w:r>
        <w:rPr>
          <w:vertAlign w:val="superscript"/>
        </w:rPr>
        <w:t xml:space="preserve"> [11]</w:t>
      </w:r>
    </w:p>
    <w:p>
      <w:pPr>
        <w:spacing w:after="120"/>
      </w:pPr>
      <w:r>
        <w:t xml:space="preserve">Russell Investments and Morningstar take a more measured tone — Russell flags a 'higher bar' for equity returns in 2026 given lofty expectations, and Morningstar favors a barbell of high-quality value alongside high-growth AI technology while warning of higher volatility.</w:t>
      </w:r>
      <w:r>
        <w:rPr>
          <w:vertAlign w:val="superscript"/>
        </w:rPr>
        <w:t xml:space="preserve"> [5]</w:t>
      </w:r>
      <w:r>
        <w:rPr>
          <w:vertAlign w:val="superscript"/>
        </w:rPr>
        <w:t xml:space="preserve"> [6]</w:t>
      </w:r>
      <w:r>
        <w:t xml:space="preserve"> Dimensional's Q1 review emphasises portfolio-construction risks — style drift, concentration, and a lack of diversification — rather than directional calls.</w:t>
      </w:r>
      <w:r>
        <w:rPr>
          <w:vertAlign w:val="superscript"/>
        </w:rPr>
        <w:t xml:space="preserve"> [8]</w:t>
      </w:r>
      <w:r>
        <w:rPr>
          <w:vertAlign w:val="superscript"/>
        </w:rPr>
        <w:t xml:space="preserve"> [9]</w:t>
      </w:r>
    </w:p>
    <w:p>
      <w:pPr>
        <w:spacing w:after="120"/>
      </w:pPr>
      <w:r>
        <w:t xml:space="preserve">The single largest shared risk across managers is Middle East escalation and the resulting energy price shock, which has trimmed prior expectations for Federal Reserve easing this year. Tailwinds most commonly cited: strong corporate earnings (S&amp;P 500 Q1 reporting tracking above 20% YoY), AI-driven productivity gains, German fiscal expansion supporting European earnings, and resilient EM earnings momentum led by North Asia and Latin America.</w:t>
      </w:r>
      <w:r>
        <w:rPr>
          <w:vertAlign w:val="superscript"/>
        </w:rPr>
        <w:t xml:space="preserve"> [3]</w:t>
      </w:r>
      <w:r>
        <w:rPr>
          <w:vertAlign w:val="superscript"/>
        </w:rPr>
        <w:t xml:space="preserve"> [11]</w:t>
      </w:r>
      <w:r>
        <w:rPr>
          <w:vertAlign w:val="superscript"/>
        </w:rPr>
        <w:t xml:space="preserve"> [13]</w:t>
      </w:r>
    </w:p>
    <w:p>
      <w:r>
        <w:br w:type="page"/>
      </w:r>
    </w:p>
    <w:p>
      <w:pPr>
        <w:pStyle w:val="Heading1"/>
      </w:pPr>
      <w:r>
        <w:t xml:space="preserve">1. Key Events and Narrative Shaping the Past 3 Months</w:t>
      </w:r>
    </w:p>
    <w:p>
      <w:pPr>
        <w:spacing w:after="120"/>
      </w:pPr>
      <w:r>
        <w:t xml:space="preserve">The following macro and market events are explicitly referenced across the six managers' Q2 2026 publications and inform their current positioning.</w:t>
      </w:r>
    </w:p>
    <w:p>
      <w:pPr>
        <w:pStyle w:val="Heading2"/>
      </w:pPr>
      <w:r>
        <w:t xml:space="preserve">Middle East escalation and the energy-price shock</w:t>
      </w:r>
    </w:p>
    <w:p>
      <w:pPr>
        <w:spacing w:after="120"/>
      </w:pPr>
      <w:r>
        <w:t xml:space="preserve">Renewed conflict in the Middle East has been the largest single shock to manager outlooks this quarter. BlackRock notes that markets had been pricing at least two quarter-point Fed cuts in 2026 prior to the escalation, but soaring energy prices have dimmed hopes for easier policy.</w:t>
      </w:r>
      <w:r>
        <w:rPr>
          <w:vertAlign w:val="superscript"/>
        </w:rPr>
        <w:t xml:space="preserve"> [1]</w:t>
      </w:r>
      <w:r>
        <w:t xml:space="preserve"> Morgan Stanley's GIC identifies oil prices and the duration of the Strait of Hormuz disruption as the single largest variable in its outlook; its base case still assumes de-escalation and a gradual reopening.</w:t>
      </w:r>
      <w:r>
        <w:rPr>
          <w:vertAlign w:val="superscript"/>
        </w:rPr>
        <w:t xml:space="preserve"> [13]</w:t>
      </w:r>
      <w:r>
        <w:rPr>
          <w:vertAlign w:val="superscript"/>
        </w:rPr>
        <w:t xml:space="preserve"> [14]</w:t>
      </w:r>
      <w:r>
        <w:t xml:space="preserve"> Goldman Sachs Asset Management frames the escalation as a 'modest risk to growth' concentrated in energy importers and notes central banks are likely to look through the supply shock provided inflation expectations stay anchored.</w:t>
      </w:r>
      <w:r>
        <w:rPr>
          <w:vertAlign w:val="superscript"/>
        </w:rPr>
        <w:t xml:space="preserve"> [11]</w:t>
      </w:r>
    </w:p>
    <w:p>
      <w:pPr>
        <w:pStyle w:val="Heading2"/>
      </w:pPr>
      <w:r>
        <w:t xml:space="preserve">AI capex cycle moving from enthusiasm to discrimination</w:t>
      </w:r>
    </w:p>
    <w:p>
      <w:pPr>
        <w:spacing w:after="120"/>
      </w:pPr>
      <w:r>
        <w:t xml:space="preserve">Every manager surveyed places AI capital expenditure at the centre of their equity narrative, but the framing has shifted. Goldman observes that the AI trade has become 'increasingly idiosyncratic' in 2026 — investors are rewarding companies that demonstrate returns on AI investment and infrastructure beneficiaries while re-pricing names exposed to disruption.</w:t>
      </w:r>
      <w:r>
        <w:rPr>
          <w:vertAlign w:val="superscript"/>
        </w:rPr>
        <w:t xml:space="preserve"> [11]</w:t>
      </w:r>
      <w:r>
        <w:t xml:space="preserve"> Morningstar notes that much of the AI optimism is already reflected in prices and investors are now looking for visibility on how AI capex translates into revenue growth.</w:t>
      </w:r>
      <w:r>
        <w:rPr>
          <w:vertAlign w:val="superscript"/>
        </w:rPr>
        <w:t xml:space="preserve"> [6]</w:t>
      </w:r>
      <w:r>
        <w:t xml:space="preserve"> Russell highlights rising investor scrutiny of capital intensity and returns on AI investment as a defining feature of the 2026 environment.</w:t>
      </w:r>
      <w:r>
        <w:rPr>
          <w:vertAlign w:val="superscript"/>
        </w:rPr>
        <w:t xml:space="preserve"> [5]</w:t>
      </w:r>
      <w:r>
        <w:t xml:space="preserve"> BlackRock takes the opposite tack: the AI mega-force is accelerating, the US edge is reinforced by recent energy-supply disruption, and investors should 'lean into' AI concentration rather than diversify away from it.</w:t>
      </w:r>
      <w:r>
        <w:rPr>
          <w:vertAlign w:val="superscript"/>
        </w:rPr>
        <w:t xml:space="preserve"> [1]</w:t>
      </w:r>
      <w:r>
        <w:rPr>
          <w:vertAlign w:val="superscript"/>
        </w:rPr>
        <w:t xml:space="preserve"> [2]</w:t>
      </w:r>
    </w:p>
    <w:p>
      <w:pPr>
        <w:pStyle w:val="Heading2"/>
      </w:pPr>
      <w:r>
        <w:t xml:space="preserve">Q1 market rotation and the 'AI Loser Trade'</w:t>
      </w:r>
    </w:p>
    <w:p>
      <w:pPr>
        <w:spacing w:after="120"/>
      </w:pPr>
      <w:r>
        <w:t xml:space="preserve">Morningstar identifies the 'AI Loser Trade,' a broader stock-market rotation, and Middle East developments as the three themes that dominated Q1.</w:t>
      </w:r>
      <w:r>
        <w:rPr>
          <w:vertAlign w:val="superscript"/>
        </w:rPr>
        <w:t xml:space="preserve"> [6]</w:t>
      </w:r>
      <w:r>
        <w:t xml:space="preserve"> Goldman's March Market Pulse leads with 'Rotation Acceleration,' showing year-to-date performance dispersion between the S&amp;P 500, MSCI World ex-US, MSCI Global Small Cap, MSCI EM, and the Bloomberg Magnificent 7.</w:t>
      </w:r>
      <w:r>
        <w:rPr>
          <w:vertAlign w:val="superscript"/>
        </w:rPr>
        <w:t xml:space="preserve"> [11]</w:t>
      </w:r>
      <w:r>
        <w:t xml:space="preserve"> Dimensional's Portfolio Consulting Group lists style drift, lack of diversification, and market concentration as the most common issues surfaced across the hundreds of portfolios it evaluated in Q1.</w:t>
      </w:r>
      <w:r>
        <w:rPr>
          <w:vertAlign w:val="superscript"/>
        </w:rPr>
        <w:t xml:space="preserve"> [8]</w:t>
      </w:r>
    </w:p>
    <w:p>
      <w:pPr>
        <w:pStyle w:val="Heading2"/>
      </w:pPr>
      <w:r>
        <w:t xml:space="preserve">Tariffs and trade-policy uncertainty</w:t>
      </w:r>
    </w:p>
    <w:p>
      <w:pPr>
        <w:spacing w:after="120"/>
      </w:pPr>
      <w:r>
        <w:t xml:space="preserve">Dimensional notes US equities lagged global counterparts in Q1 amid economic uncertainty and the impact of tariffs.</w:t>
      </w:r>
      <w:r>
        <w:rPr>
          <w:vertAlign w:val="superscript"/>
        </w:rPr>
        <w:t xml:space="preserve"> [9]</w:t>
      </w:r>
      <w:r>
        <w:t xml:space="preserve"> Goldman's March update describes the 'fading tariff drag' as a contributor to expected H1 US growth uptick alongside tax cuts and stabilising employment.</w:t>
      </w:r>
      <w:r>
        <w:rPr>
          <w:vertAlign w:val="superscript"/>
        </w:rPr>
        <w:t xml:space="preserve"> [11]</w:t>
      </w:r>
    </w:p>
    <w:p>
      <w:pPr>
        <w:pStyle w:val="Heading2"/>
      </w:pPr>
      <w:r>
        <w:t xml:space="preserve">Fed leadership transition and the disinflation thesis</w:t>
      </w:r>
    </w:p>
    <w:p>
      <w:pPr>
        <w:spacing w:after="120"/>
      </w:pPr>
      <w:r>
        <w:t xml:space="preserve">Goldman explicitly references new Fed Chair Warsh as likely 'on the dovish side of the policy debate,' viewing AI-driven productivity gains as disinflationary — a view that, if confirmed, supports both rate-cut expectations and earnings multiples.</w:t>
      </w:r>
      <w:r>
        <w:rPr>
          <w:vertAlign w:val="superscript"/>
        </w:rPr>
        <w:t xml:space="preserve"> [11]</w:t>
      </w:r>
    </w:p>
    <w:p>
      <w:pPr>
        <w:pStyle w:val="Heading2"/>
      </w:pPr>
      <w:r>
        <w:t xml:space="preserve">Q1 earnings strength</w:t>
      </w:r>
    </w:p>
    <w:p>
      <w:pPr>
        <w:spacing w:after="120"/>
      </w:pPr>
      <w:r>
        <w:t xml:space="preserve">Russell highlights that S&amp;P 500 Q1 earnings tracked above 20% year-over-year, reflecting a particularly strong reporting period and supporting the constructive equity backdrop.</w:t>
      </w:r>
      <w:r>
        <w:rPr>
          <w:vertAlign w:val="superscript"/>
        </w:rPr>
        <w:t xml:space="preserve"> [3]</w:t>
      </w:r>
      <w:r>
        <w:t xml:space="preserve"> Morgan Stanley reports the S&amp;P 500 was up more than 8% YTD by mid-Q2 after a difficult Q1, pushing to new highs.</w:t>
      </w:r>
      <w:r>
        <w:rPr>
          <w:vertAlign w:val="superscript"/>
        </w:rPr>
        <w:t xml:space="preserve"> [14]</w:t>
      </w:r>
      <w:r>
        <w:rPr>
          <w:vertAlign w:val="superscript"/>
        </w:rPr>
        <w:t xml:space="preserve"> [15]</w:t>
      </w:r>
    </w:p>
    <w:p>
      <w:pPr>
        <w:pStyle w:val="Heading1"/>
      </w:pPr>
      <w:r>
        <w:t xml:space="preserve">2. Economic Data and Its Influence on Equity Outlooks</w:t>
      </w:r>
    </w:p>
    <w:p>
      <w:pPr>
        <w:spacing w:after="120"/>
      </w:pPr>
      <w:r>
        <w:t xml:space="preserve">The data points below are those explicitly cited by the managers to anchor their equity stance. Figures are quoted as published, not as independently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Data point</w:t>
            </w:r>
          </w:p>
        </w:tc>
        <w:tc>
          <w:tcPr>
            <w:tcW w:type="dxa" w:w="24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Figure cited</w:t>
            </w:r>
          </w:p>
        </w:tc>
        <w:tc>
          <w:tcPr>
            <w:tcW w:type="dxa" w:w="456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Manager view / link to equity stance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 real GDP, 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 (Goldman); 2.25–2.5% (Russell)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Above estimated trend (~2.0%); supports overweight US equities and the 'US Preeminence' narrative [10][11]. Russell links above-trend growth to 'risks shifting from resilience to reacceleration' [5].</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Fed policy path, 2026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≈50 bps additional cuts (Goldman)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Goldman expects further Fed easing in 2026, with Chair Warsh on the dovish side; BlackRock notes ≥2 quarter-point cuts had been priced before Middle East shock, since trimmed [1][11].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 core inflation, 2026 YE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Low-2s (Goldman)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Tariff effects fading, shelter easing, AI productivity disinflationary; if confirmed, supports both equity multiples and EM equity rally [11].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S&amp;P 500 Q1 EPS growth</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&gt;20% YoY (Russell)</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Underpins constructive earnings backdrop and Morgan Stanley's 23% full-year 2026 EPS expectation; supports their S&amp;P 8,300 target [3][13][14].</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S&amp;P 500 vs fair value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~5% discount as of Apr 30, 2026; was ~12% discount Mar 23 (Morningstar)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Morningstar argues for selective value via a barbell (high-quality value + high-growth AI tech) given the partial closure of the discount [6].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Tech sector vs fair value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~11% discount (Morningstar)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Most undervalued sector; Healthcare second at ~7% discount with opportunity in medical devices, diagnostics, instruments [6].</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 equity YTD return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+12% YTD, almost entirely earnings-driven (Goldman)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Unlike 2025, EM gains are not from multiple expansion; supports Russell's EM overweight and Goldman's constructive EM call [5][11].</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 small-cap discount to large-cap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~25% (ex unprofitable, Goldman)</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Near historic lows; small caps positioned for cyclical strength + earnings recovery + capital-markets re-opening [11][12].</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BoJ policy</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Rate hike likely postponed to July (Goldman, Mar 2026)</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Recent market volatility and Japanese legislative action favour delay; supports near-term constructive Japan equity stance [11].</w:t>
            </w:r>
          </w:p>
        </w:tc>
      </w:tr>
    </w:tbl>
    <w:p>
      <w:pPr>
        <w:spacing w:after="120"/>
      </w:pPr>
      <w:r>
        <w:t xml:space="preserve"/>
      </w:r>
    </w:p>
    <w:p>
      <w:r>
        <w:br w:type="page"/>
      </w:r>
    </w:p>
    <w:p>
      <w:pPr>
        <w:pStyle w:val="Heading1"/>
      </w:pPr>
      <w:r>
        <w:t xml:space="preserve">3. Regional Outlook — by Geography</w:t>
      </w:r>
    </w:p>
    <w:p>
      <w:pPr>
        <w:pStyle w:val="Heading2"/>
      </w:pPr>
      <w:r>
        <w:t xml:space="preserve">3.1 United States</w:t>
      </w:r>
    </w:p>
    <w:p>
      <w:pPr>
        <w:spacing w:after="120"/>
      </w:pPr>
      <w:r>
        <w:t xml:space="preserve">Consensus is constructive but increasingly nuanced. The most bullish managers (Morgan Stanley GIC, BlackRock, Goldman ISG) lean on earnings strength, AI-driven productivity, and structural US advantages. The more measured voices (Russell, Morningstar, Dimensional) flag concentration, lofty expectations, and the need for selectivity.</w:t>
      </w:r>
    </w:p>
    <w:p>
      <w:pPr>
        <w:pStyle w:val="Heading3"/>
      </w:pPr>
      <w:r>
        <w:t xml:space="preserve">Bullish stances</w:t>
      </w:r>
    </w:p>
    <w:p>
      <w:pPr>
        <w:pStyle w:val="ListParagraph"/>
        <w:numPr>
          <w:ilvl w:val="0"/>
          <w:numId w:val="2"/>
        </w:numPr>
        <w:spacing w:after="80"/>
      </w:pPr>
      <w:r>
        <w:rPr>
          <w:b/>
          <w:bCs/>
        </w:rPr>
        <w:t xml:space="preserve">Morgan Stanley GIC</w:t>
      </w:r>
      <w:r>
        <w:t xml:space="preserve"> — explicit S&amp;P 500 target of 8,300 (mid-2027), expecting 23% 2026 EPS growth and 12% in 2027; tilting toward stocks with 11–12% upside expected over 9–12 months; favours US over other DM.</w:t>
      </w:r>
      <w:r>
        <w:rPr>
          <w:vertAlign w:val="superscript"/>
        </w:rPr>
        <w:t xml:space="preserve"> [13]</w:t>
      </w:r>
      <w:r>
        <w:rPr>
          <w:vertAlign w:val="superscript"/>
        </w:rPr>
        <w:t xml:space="preserve"> [14]</w:t>
      </w:r>
    </w:p>
    <w:p>
      <w:pPr>
        <w:pStyle w:val="ListParagraph"/>
        <w:numPr>
          <w:ilvl w:val="0"/>
          <w:numId w:val="2"/>
        </w:numPr>
        <w:spacing w:after="80"/>
      </w:pPr>
      <w:r>
        <w:rPr>
          <w:b/>
          <w:bCs/>
        </w:rPr>
        <w:t xml:space="preserve">Goldman Sachs ISG</w:t>
      </w:r>
      <w:r>
        <w:t xml:space="preserve"> — 'US Preeminence endures' anchored on unparalleled economic, human-capital, and financial-market strengths; sees faster, more durable EPS growth than global peers.</w:t>
      </w:r>
      <w:r>
        <w:rPr>
          <w:vertAlign w:val="superscript"/>
        </w:rPr>
        <w:t xml:space="preserve"> [10]</w:t>
      </w:r>
    </w:p>
    <w:p>
      <w:pPr>
        <w:pStyle w:val="ListParagraph"/>
        <w:numPr>
          <w:ilvl w:val="0"/>
          <w:numId w:val="2"/>
        </w:numPr>
        <w:spacing w:after="80"/>
      </w:pPr>
      <w:r>
        <w:rPr>
          <w:b/>
          <w:bCs/>
        </w:rPr>
        <w:t xml:space="preserve">BlackRock</w:t>
      </w:r>
      <w:r>
        <w:t xml:space="preserve"> — overweight US equities; argues investors should 'lean into' AI concentration rather than diversify away.</w:t>
      </w:r>
      <w:r>
        <w:rPr>
          <w:vertAlign w:val="superscript"/>
        </w:rPr>
        <w:t xml:space="preserve"> [1]</w:t>
      </w:r>
      <w:r>
        <w:rPr>
          <w:vertAlign w:val="superscript"/>
        </w:rPr>
        <w:t xml:space="preserve"> [2]</w:t>
      </w:r>
    </w:p>
    <w:p>
      <w:pPr>
        <w:pStyle w:val="Heading3"/>
      </w:pPr>
      <w:r>
        <w:t xml:space="preserve">More cautious / selective stances</w:t>
      </w:r>
    </w:p>
    <w:p>
      <w:pPr>
        <w:pStyle w:val="ListParagraph"/>
        <w:numPr>
          <w:ilvl w:val="0"/>
          <w:numId w:val="2"/>
        </w:numPr>
        <w:spacing w:after="80"/>
      </w:pPr>
      <w:r>
        <w:rPr>
          <w:b/>
          <w:bCs/>
        </w:rPr>
        <w:t xml:space="preserve">Russell Investments</w:t>
      </w:r>
      <w:r>
        <w:t xml:space="preserve"> — frames 2026 as a 'higher bar' year; US resilience vs softer international growth is a key dispersion theme; favours active over passive.</w:t>
      </w:r>
      <w:r>
        <w:rPr>
          <w:vertAlign w:val="superscript"/>
        </w:rPr>
        <w:t xml:space="preserve"> [5]</w:t>
      </w:r>
      <w:r>
        <w:rPr>
          <w:vertAlign w:val="superscript"/>
        </w:rPr>
        <w:t xml:space="preserve"> [4]</w:t>
      </w:r>
    </w:p>
    <w:p>
      <w:pPr>
        <w:pStyle w:val="ListParagraph"/>
        <w:numPr>
          <w:ilvl w:val="0"/>
          <w:numId w:val="2"/>
        </w:numPr>
        <w:spacing w:after="80"/>
      </w:pPr>
      <w:r>
        <w:rPr>
          <w:b/>
          <w:bCs/>
        </w:rPr>
        <w:t xml:space="preserve">Morningstar</w:t>
      </w:r>
      <w:r>
        <w:t xml:space="preserve"> — recommends barbell of high-quality value + high-growth AI tech; warns 2026 will be more volatile than 2025; market only 5% discount to fair value after April rally.</w:t>
      </w:r>
      <w:r>
        <w:rPr>
          <w:vertAlign w:val="superscript"/>
        </w:rPr>
        <w:t xml:space="preserve"> [6]</w:t>
      </w:r>
    </w:p>
    <w:p>
      <w:pPr>
        <w:pStyle w:val="ListParagraph"/>
        <w:numPr>
          <w:ilvl w:val="0"/>
          <w:numId w:val="2"/>
        </w:numPr>
        <w:spacing w:after="80"/>
      </w:pPr>
      <w:r>
        <w:rPr>
          <w:b/>
          <w:bCs/>
        </w:rPr>
        <w:t xml:space="preserve">Dimensional</w:t>
      </w:r>
      <w:r>
        <w:t xml:space="preserve"> — does not give directional calls; flags style drift, concentration, and inadequate diversification as the most common portfolio issues identified in Q1.</w:t>
      </w:r>
      <w:r>
        <w:rPr>
          <w:vertAlign w:val="superscript"/>
        </w:rPr>
        <w:t xml:space="preserve"> [8]</w:t>
      </w:r>
    </w:p>
    <w:p>
      <w:pPr>
        <w:pStyle w:val="Heading3"/>
      </w:pPr>
      <w:r>
        <w:t xml:space="preserve">Tailwinds (US)</w:t>
      </w:r>
    </w:p>
    <w:p>
      <w:pPr>
        <w:pStyle w:val="ListParagraph"/>
        <w:numPr>
          <w:ilvl w:val="0"/>
          <w:numId w:val="2"/>
        </w:numPr>
        <w:spacing w:after="80"/>
      </w:pPr>
      <w:r>
        <w:t xml:space="preserve">Strong Q1 earnings (S&amp;P 500 &gt;20% YoY) and full-year EPS expectations near 23%.</w:t>
      </w:r>
    </w:p>
    <w:p>
      <w:pPr>
        <w:pStyle w:val="ListParagraph"/>
        <w:numPr>
          <w:ilvl w:val="0"/>
          <w:numId w:val="2"/>
        </w:numPr>
        <w:spacing w:after="80"/>
      </w:pPr>
      <w:r>
        <w:t xml:space="preserve">Expected Fed easing (~50 bps), tax cuts, ongoing business investment, stabilising jobs.</w:t>
      </w:r>
    </w:p>
    <w:p>
      <w:pPr>
        <w:pStyle w:val="ListParagraph"/>
        <w:numPr>
          <w:ilvl w:val="0"/>
          <w:numId w:val="2"/>
        </w:numPr>
        <w:spacing w:after="80"/>
      </w:pPr>
      <w:r>
        <w:t xml:space="preserve">AI productivity gains as a disinflationary force per Goldman/new Fed leadership thesis.</w:t>
      </w:r>
    </w:p>
    <w:p>
      <w:pPr>
        <w:pStyle w:val="ListParagraph"/>
        <w:numPr>
          <w:ilvl w:val="0"/>
          <w:numId w:val="2"/>
        </w:numPr>
        <w:spacing w:after="80"/>
      </w:pPr>
      <w:r>
        <w:t xml:space="preserve">Small-cap setup: 25% discount to large-cap, cyclical strength, capital-markets re-opening (IPO momentum).</w:t>
      </w:r>
    </w:p>
    <w:p>
      <w:pPr>
        <w:pStyle w:val="Heading3"/>
      </w:pPr>
      <w:r>
        <w:t xml:space="preserve">Headwinds (US)</w:t>
      </w:r>
    </w:p>
    <w:p>
      <w:pPr>
        <w:pStyle w:val="ListParagraph"/>
        <w:numPr>
          <w:ilvl w:val="0"/>
          <w:numId w:val="2"/>
        </w:numPr>
        <w:spacing w:after="80"/>
      </w:pPr>
      <w:r>
        <w:t xml:space="preserve">Market concentration — a single common driver explains a larger share of returns (BlackRock, Dimensional, Morningstar all flag).</w:t>
      </w:r>
    </w:p>
    <w:p>
      <w:pPr>
        <w:pStyle w:val="ListParagraph"/>
        <w:numPr>
          <w:ilvl w:val="0"/>
          <w:numId w:val="2"/>
        </w:numPr>
        <w:spacing w:after="80"/>
      </w:pPr>
      <w:r>
        <w:t xml:space="preserve">AI capex returns — whether spending translates to revenue is the open question; Morningstar notes optimism is largely priced in.</w:t>
      </w:r>
    </w:p>
    <w:p>
      <w:pPr>
        <w:pStyle w:val="ListParagraph"/>
        <w:numPr>
          <w:ilvl w:val="0"/>
          <w:numId w:val="2"/>
        </w:numPr>
        <w:spacing w:after="80"/>
      </w:pPr>
      <w:r>
        <w:t xml:space="preserve">Middle East escalation and energy-price shock to inflation/rate path.</w:t>
      </w:r>
    </w:p>
    <w:p>
      <w:pPr>
        <w:pStyle w:val="ListParagraph"/>
        <w:numPr>
          <w:ilvl w:val="0"/>
          <w:numId w:val="2"/>
        </w:numPr>
        <w:spacing w:after="80"/>
      </w:pPr>
      <w:r>
        <w:t xml:space="preserve">Tariff and trade-policy uncertainty (Dimensional's Q1 attribution).</w:t>
      </w:r>
    </w:p>
    <w:p>
      <w:pPr>
        <w:pStyle w:val="Heading3"/>
      </w:pPr>
      <w:r>
        <w:t xml:space="preserve">Where they disagree</w:t>
      </w:r>
    </w:p>
    <w:p>
      <w:pPr>
        <w:spacing w:after="120"/>
      </w:pPr>
      <w:r>
        <w:t xml:space="preserve">BlackRock and Morningstar offer the sharpest contrast: BlackRock argues diversifying away from AI concentration is itself a large active call that needs conviction, while Morningstar's barbell explicitly pairs AI exposure with a high-quality value sleeve to hedge concentration risk.</w:t>
      </w:r>
      <w:r>
        <w:rPr>
          <w:vertAlign w:val="superscript"/>
        </w:rPr>
        <w:t xml:space="preserve"> [1]</w:t>
      </w:r>
      <w:r>
        <w:rPr>
          <w:vertAlign w:val="superscript"/>
        </w:rPr>
        <w:t xml:space="preserve"> [6]</w:t>
      </w:r>
    </w:p>
    <w:p>
      <w:pPr>
        <w:pStyle w:val="Heading2"/>
      </w:pPr>
      <w:r>
        <w:t xml:space="preserve">3.2 Europe</w:t>
      </w:r>
    </w:p>
    <w:p>
      <w:pPr>
        <w:spacing w:after="120"/>
      </w:pPr>
      <w:r>
        <w:t xml:space="preserve">Consensus is more constructive than at this time last year, anchored on German fiscal expansion, improving economic surprises, and selective valuation opportunities. None of the six is outright overweight Europe versus the US at the headline level, but several flag specific sleeves of value.</w:t>
      </w:r>
    </w:p>
    <w:p>
      <w:pPr>
        <w:pStyle w:val="Heading3"/>
      </w:pPr>
      <w:r>
        <w:t xml:space="preserve">Bullish / constructive stances</w:t>
      </w:r>
    </w:p>
    <w:p>
      <w:pPr>
        <w:pStyle w:val="ListParagraph"/>
        <w:numPr>
          <w:ilvl w:val="0"/>
          <w:numId w:val="2"/>
        </w:numPr>
        <w:spacing w:after="80"/>
      </w:pPr>
      <w:r>
        <w:rPr>
          <w:b/>
          <w:bCs/>
        </w:rPr>
        <w:t xml:space="preserve">Goldman Sachs Asset Management</w:t>
      </w:r>
      <w:r>
        <w:t xml:space="preserve"> — expects positive economic surprises to persist in Europe, fuelled by Germany's federal spending; Euro area inflation near target with normalising wage growth as a stabilising factor.</w:t>
      </w:r>
      <w:r>
        <w:rPr>
          <w:vertAlign w:val="superscript"/>
        </w:rPr>
        <w:t xml:space="preserve"> [11]</w:t>
      </w:r>
    </w:p>
    <w:p>
      <w:pPr>
        <w:pStyle w:val="ListParagraph"/>
        <w:numPr>
          <w:ilvl w:val="0"/>
          <w:numId w:val="2"/>
        </w:numPr>
        <w:spacing w:after="80"/>
      </w:pPr>
      <w:r>
        <w:rPr>
          <w:b/>
          <w:bCs/>
        </w:rPr>
        <w:t xml:space="preserve">Morgan Stanley</w:t>
      </w:r>
      <w:r>
        <w:t xml:space="preserve"> — forecasts a U-shaped European recovery, attributing 2026 growth to procyclical fiscal policy and widespread AI adoption.</w:t>
      </w:r>
      <w:r>
        <w:rPr>
          <w:vertAlign w:val="superscript"/>
        </w:rPr>
        <w:t xml:space="preserve"> [16]</w:t>
      </w:r>
    </w:p>
    <w:p>
      <w:pPr>
        <w:pStyle w:val="ListParagraph"/>
        <w:numPr>
          <w:ilvl w:val="0"/>
          <w:numId w:val="2"/>
        </w:numPr>
        <w:spacing w:after="80"/>
      </w:pPr>
      <w:r>
        <w:rPr>
          <w:b/>
          <w:bCs/>
        </w:rPr>
        <w:t xml:space="preserve">BlackRock</w:t>
      </w:r>
      <w:r>
        <w:t xml:space="preserve"> — identifies value opportunities in European defence stocks and banks, and in 'interesting corners of the UK' including UK banks and small caps; active approach required to weather geopolitical challenges.</w:t>
      </w:r>
      <w:r>
        <w:rPr>
          <w:vertAlign w:val="superscript"/>
        </w:rPr>
        <w:t xml:space="preserve"> [2]</w:t>
      </w:r>
    </w:p>
    <w:p>
      <w:pPr>
        <w:pStyle w:val="Heading3"/>
      </w:pPr>
      <w:r>
        <w:t xml:space="preserve">Tailwinds (Europe)</w:t>
      </w:r>
    </w:p>
    <w:p>
      <w:pPr>
        <w:pStyle w:val="ListParagraph"/>
        <w:numPr>
          <w:ilvl w:val="0"/>
          <w:numId w:val="2"/>
        </w:numPr>
        <w:spacing w:after="80"/>
      </w:pPr>
      <w:r>
        <w:t xml:space="preserve">German federal fiscal expansion and rising defence spending.</w:t>
      </w:r>
    </w:p>
    <w:p>
      <w:pPr>
        <w:pStyle w:val="ListParagraph"/>
        <w:numPr>
          <w:ilvl w:val="0"/>
          <w:numId w:val="2"/>
        </w:numPr>
        <w:spacing w:after="80"/>
      </w:pPr>
      <w:r>
        <w:t xml:space="preserve">Inflation broadly near ECB target; normalising wages stabilising.</w:t>
      </w:r>
    </w:p>
    <w:p>
      <w:pPr>
        <w:pStyle w:val="ListParagraph"/>
        <w:numPr>
          <w:ilvl w:val="0"/>
          <w:numId w:val="2"/>
        </w:numPr>
        <w:spacing w:after="80"/>
      </w:pPr>
      <w:r>
        <w:t xml:space="preserve">Selective valuation opportunities — particularly banks, defence, and UK small caps.</w:t>
      </w:r>
    </w:p>
    <w:p>
      <w:pPr>
        <w:pStyle w:val="Heading3"/>
      </w:pPr>
      <w:r>
        <w:t xml:space="preserve">Headwinds (Europe)</w:t>
      </w:r>
    </w:p>
    <w:p>
      <w:pPr>
        <w:pStyle w:val="ListParagraph"/>
        <w:numPr>
          <w:ilvl w:val="0"/>
          <w:numId w:val="2"/>
        </w:numPr>
        <w:spacing w:after="80"/>
      </w:pPr>
      <w:r>
        <w:t xml:space="preserve">Geopolitical exposure (Middle East energy-price sensitivity hits European importers hardest).</w:t>
      </w:r>
    </w:p>
    <w:p>
      <w:pPr>
        <w:pStyle w:val="ListParagraph"/>
        <w:numPr>
          <w:ilvl w:val="0"/>
          <w:numId w:val="2"/>
        </w:numPr>
        <w:spacing w:after="80"/>
      </w:pPr>
      <w:r>
        <w:t xml:space="preserve">Lack of broad-based earnings catalyst comparable to US tech / AI complex.</w:t>
      </w:r>
    </w:p>
    <w:p>
      <w:pPr>
        <w:pStyle w:val="ListParagraph"/>
        <w:numPr>
          <w:ilvl w:val="0"/>
          <w:numId w:val="2"/>
        </w:numPr>
        <w:spacing w:after="80"/>
      </w:pPr>
      <w:r>
        <w:t xml:space="preserve">Currency and trade-policy sensitivity to US tariff posture (Dimensional, Goldman).</w:t>
      </w:r>
    </w:p>
    <w:p>
      <w:pPr>
        <w:pStyle w:val="Heading3"/>
      </w:pPr>
      <w:r>
        <w:t xml:space="preserve">Where they disagree</w:t>
      </w:r>
    </w:p>
    <w:p>
      <w:pPr>
        <w:spacing w:after="120"/>
      </w:pPr>
      <w:r>
        <w:t xml:space="preserve">Managers broadly agree Europe is a selective-opportunity story, not a region-wide overweight. The clearest divergence is in conviction: Morgan Stanley's U-shape view treats 2026 as a recovery year, while Russell's 'higher bar' framing applies even more acutely to a region with thinner earnings momentum than the US.</w:t>
      </w:r>
      <w:r>
        <w:rPr>
          <w:vertAlign w:val="superscript"/>
        </w:rPr>
        <w:t xml:space="preserve"> [5]</w:t>
      </w:r>
      <w:r>
        <w:rPr>
          <w:vertAlign w:val="superscript"/>
        </w:rPr>
        <w:t xml:space="preserve"> [16]</w:t>
      </w:r>
    </w:p>
    <w:p>
      <w:pPr>
        <w:pStyle w:val="Heading2"/>
      </w:pPr>
      <w:r>
        <w:t xml:space="preserve">3.3 Asia (Developed) — Japan focus</w:t>
      </w:r>
    </w:p>
    <w:p>
      <w:pPr>
        <w:spacing w:after="120"/>
      </w:pPr>
      <w:r>
        <w:t xml:space="preserve">Constructive consensus on Japan, supported by fiscal stimulus, defence-spending increases, and AI/tech investment. Pace of BoJ normalisation is the principal swing factor; US tariff posture is the principal external risk.</w:t>
      </w:r>
    </w:p>
    <w:p>
      <w:pPr>
        <w:pStyle w:val="Heading3"/>
      </w:pPr>
      <w:r>
        <w:t xml:space="preserve">Constructive stances</w:t>
      </w:r>
    </w:p>
    <w:p>
      <w:pPr>
        <w:pStyle w:val="ListParagraph"/>
        <w:numPr>
          <w:ilvl w:val="0"/>
          <w:numId w:val="2"/>
        </w:numPr>
        <w:spacing w:after="80"/>
      </w:pPr>
      <w:r>
        <w:rPr>
          <w:b/>
          <w:bCs/>
        </w:rPr>
        <w:t xml:space="preserve">Goldman Sachs Asset Management</w:t>
      </w:r>
      <w:r>
        <w:t xml:space="preserve"> — expects BoJ to postpone rate hike to July following recent volatility and Japanese legislative action; treats Japan as part of supportive global growth picture.</w:t>
      </w:r>
      <w:r>
        <w:rPr>
          <w:vertAlign w:val="superscript"/>
        </w:rPr>
        <w:t xml:space="preserve"> [11]</w:t>
      </w:r>
    </w:p>
    <w:p>
      <w:pPr>
        <w:pStyle w:val="ListParagraph"/>
        <w:numPr>
          <w:ilvl w:val="0"/>
          <w:numId w:val="2"/>
        </w:numPr>
        <w:spacing w:after="80"/>
      </w:pPr>
      <w:r>
        <w:rPr>
          <w:b/>
          <w:bCs/>
        </w:rPr>
        <w:t xml:space="preserve">Morningstar</w:t>
      </w:r>
      <w:r>
        <w:t xml:space="preserve"> — separate Asia Equity Q2 2026 outlook reiterates constructive view, with North Asia featuring prominently in the regional earnings story.</w:t>
      </w:r>
      <w:r>
        <w:rPr>
          <w:vertAlign w:val="superscript"/>
        </w:rPr>
        <w:t xml:space="preserve"> [7]</w:t>
      </w:r>
    </w:p>
    <w:p>
      <w:pPr>
        <w:pStyle w:val="ListParagraph"/>
        <w:numPr>
          <w:ilvl w:val="0"/>
          <w:numId w:val="2"/>
        </w:numPr>
        <w:spacing w:after="80"/>
      </w:pPr>
      <w:r>
        <w:rPr>
          <w:b/>
          <w:bCs/>
        </w:rPr>
        <w:t xml:space="preserve">Cross-manager view (BlackRock, Goldman, MS)</w:t>
      </w:r>
      <w:r>
        <w:t xml:space="preserve"> — references to Japan fiscal stimulus (abolishing provisional gasoline tax, raising defence spending, AI/advanced tech investment) appear consistently as Japan tailwinds.</w:t>
      </w:r>
      <w:r>
        <w:rPr>
          <w:vertAlign w:val="superscript"/>
        </w:rPr>
        <w:t xml:space="preserve"> [11]</w:t>
      </w:r>
      <w:r>
        <w:rPr>
          <w:vertAlign w:val="superscript"/>
        </w:rPr>
        <w:t xml:space="preserve"> [13]</w:t>
      </w:r>
    </w:p>
    <w:p>
      <w:pPr>
        <w:pStyle w:val="Heading3"/>
      </w:pPr>
      <w:r>
        <w:t xml:space="preserve">Tailwinds (Asia DM / Japan)</w:t>
      </w:r>
    </w:p>
    <w:p>
      <w:pPr>
        <w:pStyle w:val="ListParagraph"/>
        <w:numPr>
          <w:ilvl w:val="0"/>
          <w:numId w:val="2"/>
        </w:numPr>
        <w:spacing w:after="80"/>
      </w:pPr>
      <w:r>
        <w:t xml:space="preserve">Japanese fiscal stimulus and defence-spending increases; continuing corporate-governance reform.</w:t>
      </w:r>
    </w:p>
    <w:p>
      <w:pPr>
        <w:pStyle w:val="ListParagraph"/>
        <w:numPr>
          <w:ilvl w:val="0"/>
          <w:numId w:val="2"/>
        </w:numPr>
        <w:spacing w:after="80"/>
      </w:pPr>
      <w:r>
        <w:t xml:space="preserve">AI / semiconductor supply-chain demand benefiting North Asia.</w:t>
      </w:r>
    </w:p>
    <w:p>
      <w:pPr>
        <w:pStyle w:val="ListParagraph"/>
        <w:numPr>
          <w:ilvl w:val="0"/>
          <w:numId w:val="2"/>
        </w:numPr>
        <w:spacing w:after="80"/>
      </w:pPr>
      <w:r>
        <w:t xml:space="preserve">Delayed BoJ tightening supports near-term equity multiples.</w:t>
      </w:r>
    </w:p>
    <w:p>
      <w:pPr>
        <w:pStyle w:val="Heading3"/>
      </w:pPr>
      <w:r>
        <w:t xml:space="preserve">Headwinds (Asia DM / Japan)</w:t>
      </w:r>
    </w:p>
    <w:p>
      <w:pPr>
        <w:pStyle w:val="ListParagraph"/>
        <w:numPr>
          <w:ilvl w:val="0"/>
          <w:numId w:val="2"/>
        </w:numPr>
        <w:spacing w:after="80"/>
      </w:pPr>
      <w:r>
        <w:t xml:space="preserve">US tariff pressure as global trade backdrop tightens.</w:t>
      </w:r>
    </w:p>
    <w:p>
      <w:pPr>
        <w:pStyle w:val="ListParagraph"/>
        <w:numPr>
          <w:ilvl w:val="0"/>
          <w:numId w:val="2"/>
        </w:numPr>
        <w:spacing w:after="80"/>
      </w:pPr>
      <w:r>
        <w:t xml:space="preserve">Yen sensitivity to BoJ policy path; mistimed normalisation could hit exporter earnings.</w:t>
      </w:r>
    </w:p>
    <w:p>
      <w:pPr>
        <w:pStyle w:val="Heading2"/>
      </w:pPr>
      <w:r>
        <w:t xml:space="preserve">3.4 Emerging Markets</w:t>
      </w:r>
    </w:p>
    <w:p>
      <w:pPr>
        <w:spacing w:after="120"/>
      </w:pPr>
      <w:r>
        <w:t xml:space="preserve">Emerging-market equities are the standout positive story across managers this quarter — and arguably the strongest area of cross-manager consensus alongside AI as a macro theme. Importantly, multiple managers stress that the 2026 EM rally has been earnings-driven, not multiple-expansion driven.</w:t>
      </w:r>
    </w:p>
    <w:p>
      <w:pPr>
        <w:pStyle w:val="Heading3"/>
      </w:pPr>
      <w:r>
        <w:t xml:space="preserve">Bullish stances</w:t>
      </w:r>
    </w:p>
    <w:p>
      <w:pPr>
        <w:pStyle w:val="ListParagraph"/>
        <w:numPr>
          <w:ilvl w:val="0"/>
          <w:numId w:val="2"/>
        </w:numPr>
        <w:spacing w:after="80"/>
      </w:pPr>
      <w:r>
        <w:rPr>
          <w:b/>
          <w:bCs/>
        </w:rPr>
        <w:t xml:space="preserve">Russell Investments</w:t>
      </w:r>
      <w:r>
        <w:t xml:space="preserve"> — EM is a preferred overweight in global equity strategies; broadening growth and profitability supported by AI-driven gains signal a turning point in leadership beyond the US hyperscalers.</w:t>
      </w:r>
      <w:r>
        <w:rPr>
          <w:vertAlign w:val="superscript"/>
        </w:rPr>
        <w:t xml:space="preserve"> [5]</w:t>
      </w:r>
    </w:p>
    <w:p>
      <w:pPr>
        <w:pStyle w:val="ListParagraph"/>
        <w:numPr>
          <w:ilvl w:val="0"/>
          <w:numId w:val="2"/>
        </w:numPr>
        <w:spacing w:after="80"/>
      </w:pPr>
      <w:r>
        <w:rPr>
          <w:b/>
          <w:bCs/>
        </w:rPr>
        <w:t xml:space="preserve">Goldman Sachs ISG / GSAM</w:t>
      </w:r>
      <w:r>
        <w:t xml:space="preserve"> — EM equities 'stand out,' supported by strong AI-driven earnings momentum; +12% YTD in 2026 with the rally almost entirely earnings-driven; LatAm and North Asia outperforming on cyclical and secular tailwinds.</w:t>
      </w:r>
      <w:r>
        <w:rPr>
          <w:vertAlign w:val="superscript"/>
        </w:rPr>
        <w:t xml:space="preserve"> [10]</w:t>
      </w:r>
      <w:r>
        <w:rPr>
          <w:vertAlign w:val="superscript"/>
        </w:rPr>
        <w:t xml:space="preserve"> [11]</w:t>
      </w:r>
    </w:p>
    <w:p>
      <w:pPr>
        <w:pStyle w:val="ListParagraph"/>
        <w:numPr>
          <w:ilvl w:val="0"/>
          <w:numId w:val="2"/>
        </w:numPr>
        <w:spacing w:after="80"/>
      </w:pPr>
      <w:r>
        <w:rPr>
          <w:b/>
          <w:bCs/>
        </w:rPr>
        <w:t xml:space="preserve">BlackRock</w:t>
      </w:r>
      <w:r>
        <w:t xml:space="preserve"> — within EM, favours AI beneficiaries and commodity exporters; AI theme is powering EM earnings upgrades.</w:t>
      </w:r>
      <w:r>
        <w:rPr>
          <w:vertAlign w:val="superscript"/>
        </w:rPr>
        <w:t xml:space="preserve"> [1]</w:t>
      </w:r>
      <w:r>
        <w:rPr>
          <w:vertAlign w:val="superscript"/>
        </w:rPr>
        <w:t xml:space="preserve"> [2]</w:t>
      </w:r>
    </w:p>
    <w:p>
      <w:pPr>
        <w:pStyle w:val="Heading3"/>
      </w:pPr>
      <w:r>
        <w:t xml:space="preserve">More mixed view on China specifically</w:t>
      </w:r>
    </w:p>
    <w:p>
      <w:pPr>
        <w:spacing w:after="120"/>
      </w:pPr>
      <w:r>
        <w:t xml:space="preserve">Managers are more constructive on China medium-term given moderately pro-growth policies, increasing recognition of Chinese technological advancement, and incremental US-China relations improvement. However, H2 2025 deceleration in property sales and fixed-asset investment is widely noted, with gradual rather than aggressive fiscal stimulus expected.</w:t>
      </w:r>
      <w:r>
        <w:rPr>
          <w:vertAlign w:val="superscript"/>
        </w:rPr>
        <w:t xml:space="preserve"> [7]</w:t>
      </w:r>
    </w:p>
    <w:p>
      <w:pPr>
        <w:pStyle w:val="Heading3"/>
      </w:pPr>
      <w:r>
        <w:t xml:space="preserve">Tailwinds (EM)</w:t>
      </w:r>
    </w:p>
    <w:p>
      <w:pPr>
        <w:pStyle w:val="ListParagraph"/>
        <w:numPr>
          <w:ilvl w:val="0"/>
          <w:numId w:val="2"/>
        </w:numPr>
        <w:spacing w:after="80"/>
      </w:pPr>
      <w:r>
        <w:t xml:space="preserve">AI-related hardware demand, especially North Asia semiconductor supply chains.</w:t>
      </w:r>
    </w:p>
    <w:p>
      <w:pPr>
        <w:pStyle w:val="ListParagraph"/>
        <w:numPr>
          <w:ilvl w:val="0"/>
          <w:numId w:val="2"/>
        </w:numPr>
        <w:spacing w:after="80"/>
      </w:pPr>
      <w:r>
        <w:t xml:space="preserve">Commodity upside from sustained energy / industrial-metals strength.</w:t>
      </w:r>
    </w:p>
    <w:p>
      <w:pPr>
        <w:pStyle w:val="ListParagraph"/>
        <w:numPr>
          <w:ilvl w:val="0"/>
          <w:numId w:val="2"/>
        </w:numPr>
        <w:spacing w:after="80"/>
      </w:pPr>
      <w:r>
        <w:t xml:space="preserve">Earnings momentum — the rally has not relied on multiple expansion (Goldman).</w:t>
      </w:r>
    </w:p>
    <w:p>
      <w:pPr>
        <w:pStyle w:val="ListParagraph"/>
        <w:numPr>
          <w:ilvl w:val="0"/>
          <w:numId w:val="2"/>
        </w:numPr>
        <w:spacing w:after="80"/>
      </w:pPr>
      <w:r>
        <w:t xml:space="preserve">Lower starting valuations vs DM and conservative positioning.</w:t>
      </w:r>
    </w:p>
    <w:p>
      <w:pPr>
        <w:pStyle w:val="Heading3"/>
      </w:pPr>
      <w:r>
        <w:t xml:space="preserve">Headwinds (EM)</w:t>
      </w:r>
    </w:p>
    <w:p>
      <w:pPr>
        <w:pStyle w:val="ListParagraph"/>
        <w:numPr>
          <w:ilvl w:val="0"/>
          <w:numId w:val="2"/>
        </w:numPr>
        <w:spacing w:after="80"/>
      </w:pPr>
      <w:r>
        <w:t xml:space="preserve">Geopolitics — regional risks could break the earnings story.</w:t>
      </w:r>
    </w:p>
    <w:p>
      <w:pPr>
        <w:pStyle w:val="ListParagraph"/>
        <w:numPr>
          <w:ilvl w:val="0"/>
          <w:numId w:val="2"/>
        </w:numPr>
        <w:spacing w:after="80"/>
      </w:pPr>
      <w:r>
        <w:t xml:space="preserve">China property and fixed-asset investment deceleration.</w:t>
      </w:r>
    </w:p>
    <w:p>
      <w:pPr>
        <w:pStyle w:val="ListParagraph"/>
        <w:numPr>
          <w:ilvl w:val="0"/>
          <w:numId w:val="2"/>
        </w:numPr>
        <w:spacing w:after="80"/>
      </w:pPr>
      <w:r>
        <w:t xml:space="preserve">USD path — disinflation is favourable, but any USD strength on safe-haven flows is a near-term EM headwind.</w:t>
      </w:r>
    </w:p>
    <w:p>
      <w:pPr>
        <w:pStyle w:val="Heading3"/>
      </w:pPr>
      <w:r>
        <w:t xml:space="preserve">Where they disagree</w:t>
      </w:r>
    </w:p>
    <w:p>
      <w:pPr>
        <w:spacing w:after="120"/>
      </w:pPr>
      <w:r>
        <w:t xml:space="preserve">All six managers covered are constructive on EM as an asset class. The clearest split is sub-regional: Russell frames the EM call broadly, BlackRock points specifically at AI beneficiaries and commodity exporters, while Goldman explicitly identifies LatAm and North Asia as the strongest performers.</w:t>
      </w:r>
      <w:r>
        <w:rPr>
          <w:vertAlign w:val="superscript"/>
        </w:rPr>
        <w:t xml:space="preserve"> [1]</w:t>
      </w:r>
      <w:r>
        <w:rPr>
          <w:vertAlign w:val="superscript"/>
        </w:rPr>
        <w:t xml:space="preserve"> [5]</w:t>
      </w:r>
      <w:r>
        <w:rPr>
          <w:vertAlign w:val="superscript"/>
        </w:rPr>
        <w:t xml:space="preserve"> [11]</w:t>
      </w:r>
    </w:p>
    <w:p>
      <w:r>
        <w:br w:type="page"/>
      </w:r>
    </w:p>
    <w:p>
      <w:pPr>
        <w:pStyle w:val="Heading1"/>
      </w:pPr>
      <w:r>
        <w:t xml:space="preserve">4. Cross-Manager Consensus and Divergence</w:t>
      </w:r>
    </w:p>
    <w:p>
      <w:pPr>
        <w:pStyle w:val="Heading2"/>
      </w:pPr>
      <w:r>
        <w:t xml:space="preserve">Where most managers agree</w:t>
      </w:r>
    </w:p>
    <w:p>
      <w:pPr>
        <w:pStyle w:val="ListParagraph"/>
        <w:numPr>
          <w:ilvl w:val="0"/>
          <w:numId w:val="2"/>
        </w:numPr>
        <w:spacing w:after="80"/>
      </w:pPr>
      <w:r>
        <w:t xml:space="preserve">AI capex cycle is the defining 2026 narrative — but the trade is now about discrimination between revenue-generating AI beneficiaries and disrupted incumbents, not blanket exposure.</w:t>
      </w:r>
    </w:p>
    <w:p>
      <w:pPr>
        <w:pStyle w:val="ListParagraph"/>
        <w:numPr>
          <w:ilvl w:val="0"/>
          <w:numId w:val="2"/>
        </w:numPr>
        <w:spacing w:after="80"/>
      </w:pPr>
      <w:r>
        <w:t xml:space="preserve">Corporate earnings have re-accelerated and underpin the constructive equity backdrop (S&amp;P Q1 &gt;20% YoY).</w:t>
      </w:r>
    </w:p>
    <w:p>
      <w:pPr>
        <w:pStyle w:val="ListParagraph"/>
        <w:numPr>
          <w:ilvl w:val="0"/>
          <w:numId w:val="2"/>
        </w:numPr>
        <w:spacing w:after="80"/>
      </w:pPr>
      <w:r>
        <w:t xml:space="preserve">Emerging-market equities are an explicit overweight or 'standout' for most managers; importantly, the rally is earnings-driven, not multiple-expansion driven.</w:t>
      </w:r>
    </w:p>
    <w:p>
      <w:pPr>
        <w:pStyle w:val="ListParagraph"/>
        <w:numPr>
          <w:ilvl w:val="0"/>
          <w:numId w:val="2"/>
        </w:numPr>
        <w:spacing w:after="80"/>
      </w:pPr>
      <w:r>
        <w:t xml:space="preserve">Middle East escalation and the resulting energy-price shock is the single largest shared near-term risk.</w:t>
      </w:r>
    </w:p>
    <w:p>
      <w:pPr>
        <w:pStyle w:val="ListParagraph"/>
        <w:numPr>
          <w:ilvl w:val="0"/>
          <w:numId w:val="2"/>
        </w:numPr>
        <w:spacing w:after="80"/>
      </w:pPr>
      <w:r>
        <w:t xml:space="preserve">Federal Reserve will continue easing (Goldman expects ~50 bps more in 2026) though the precise path is hostage to the energy-price trajectory.</w:t>
      </w:r>
    </w:p>
    <w:p>
      <w:pPr>
        <w:pStyle w:val="ListParagraph"/>
        <w:numPr>
          <w:ilvl w:val="0"/>
          <w:numId w:val="2"/>
        </w:numPr>
        <w:spacing w:after="80"/>
      </w:pPr>
      <w:r>
        <w:t xml:space="preserve">Volatility will be higher than 2025; selectivity matters more than beta exposure.</w:t>
      </w:r>
    </w:p>
    <w:p>
      <w:pPr>
        <w:pStyle w:val="ListParagraph"/>
        <w:numPr>
          <w:ilvl w:val="0"/>
          <w:numId w:val="2"/>
        </w:numPr>
        <w:spacing w:after="80"/>
      </w:pPr>
      <w:r>
        <w:t xml:space="preserve">Europe is a selective opportunity story (defence, banks, UK small caps, German fiscal beneficiaries) rather than a region-wide overweight.</w:t>
      </w:r>
    </w:p>
    <w:p>
      <w:pPr>
        <w:pStyle w:val="ListParagraph"/>
        <w:numPr>
          <w:ilvl w:val="0"/>
          <w:numId w:val="2"/>
        </w:numPr>
        <w:spacing w:after="80"/>
      </w:pPr>
      <w:r>
        <w:t xml:space="preserve">Japan remains constructive on fiscal stimulus and reform; BoJ pace is the swing factor.</w:t>
      </w:r>
    </w:p>
    <w:p>
      <w:pPr>
        <w:pStyle w:val="Heading2"/>
      </w:pPr>
      <w:r>
        <w:t xml:space="preserve">Where they disagree</w:t>
      </w:r>
    </w:p>
    <w:p>
      <w:pPr>
        <w:pStyle w:val="ListParagraph"/>
        <w:numPr>
          <w:ilvl w:val="0"/>
          <w:numId w:val="2"/>
        </w:numPr>
        <w:spacing w:after="80"/>
      </w:pPr>
      <w:r>
        <w:rPr>
          <w:b/>
          <w:bCs/>
        </w:rPr>
        <w:t xml:space="preserve">Whether to lean into US / AI concentration</w:t>
      </w:r>
      <w:r>
        <w:t xml:space="preserve"> — BlackRock argues for leaning in; Morningstar prefers a barbell that explicitly hedges concentration with quality value; Dimensional emphasises diversification as a portfolio discipline.</w:t>
      </w:r>
      <w:r>
        <w:rPr>
          <w:vertAlign w:val="superscript"/>
        </w:rPr>
        <w:t xml:space="preserve"> [1]</w:t>
      </w:r>
      <w:r>
        <w:rPr>
          <w:vertAlign w:val="superscript"/>
        </w:rPr>
        <w:t xml:space="preserve"> [6]</w:t>
      </w:r>
      <w:r>
        <w:rPr>
          <w:vertAlign w:val="superscript"/>
        </w:rPr>
        <w:t xml:space="preserve"> [8]</w:t>
      </w:r>
    </w:p>
    <w:p>
      <w:pPr>
        <w:pStyle w:val="ListParagraph"/>
        <w:numPr>
          <w:ilvl w:val="0"/>
          <w:numId w:val="2"/>
        </w:numPr>
        <w:spacing w:after="80"/>
      </w:pPr>
      <w:r>
        <w:rPr>
          <w:b/>
          <w:bCs/>
        </w:rPr>
        <w:t xml:space="preserve">Headline equity stance directionality</w:t>
      </w:r>
      <w:r>
        <w:t xml:space="preserve"> — Morgan Stanley provides the most explicit numerical conviction (S&amp;P 8,300 target, 11–12% upside); Russell is more guarded on 'higher bar'; Dimensional is structurally agnostic to directional calls.</w:t>
      </w:r>
      <w:r>
        <w:rPr>
          <w:vertAlign w:val="superscript"/>
        </w:rPr>
        <w:t xml:space="preserve"> [5]</w:t>
      </w:r>
      <w:r>
        <w:rPr>
          <w:vertAlign w:val="superscript"/>
        </w:rPr>
        <w:t xml:space="preserve"> [8]</w:t>
      </w:r>
      <w:r>
        <w:rPr>
          <w:vertAlign w:val="superscript"/>
        </w:rPr>
        <w:t xml:space="preserve"> [14]</w:t>
      </w:r>
    </w:p>
    <w:p>
      <w:pPr>
        <w:pStyle w:val="ListParagraph"/>
        <w:numPr>
          <w:ilvl w:val="0"/>
          <w:numId w:val="2"/>
        </w:numPr>
        <w:spacing w:after="80"/>
      </w:pPr>
      <w:r>
        <w:rPr>
          <w:b/>
          <w:bCs/>
        </w:rPr>
        <w:t xml:space="preserve">Where to find value</w:t>
      </w:r>
      <w:r>
        <w:t xml:space="preserve"> — Morningstar points specifically to Tech (-11%) and Healthcare (-7%) at the sector level; Goldman emphasises global small caps; BlackRock highlights European defence/banks and UK small caps; Russell emphasises EM at the regional level.</w:t>
      </w:r>
      <w:r>
        <w:rPr>
          <w:vertAlign w:val="superscript"/>
        </w:rPr>
        <w:t xml:space="preserve"> [2]</w:t>
      </w:r>
      <w:r>
        <w:rPr>
          <w:vertAlign w:val="superscript"/>
        </w:rPr>
        <w:t xml:space="preserve"> [6]</w:t>
      </w:r>
      <w:r>
        <w:rPr>
          <w:vertAlign w:val="superscript"/>
        </w:rPr>
        <w:t xml:space="preserve"> [11]</w:t>
      </w:r>
      <w:r>
        <w:rPr>
          <w:vertAlign w:val="superscript"/>
        </w:rPr>
        <w:t xml:space="preserve"> [12]</w:t>
      </w:r>
    </w:p>
    <w:p>
      <w:pPr>
        <w:pStyle w:val="Heading1"/>
      </w:pPr>
      <w:r>
        <w:t xml:space="preserve">5. Bullish vs Bearish Summary Matrix</w:t>
      </w:r>
    </w:p>
    <w:p>
      <w:pPr>
        <w:spacing w:after="120"/>
      </w:pPr>
      <w:r>
        <w:t xml:space="preserve">Quick-reference matrix for the writing agent. 'Stance' is the directional posture as expressed in the most recent published quarterly outlook.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600"/>
        <w:gridCol w:w="1600"/>
        <w:gridCol w:w="2760"/>
      </w:tblGrid>
      <w:tr>
        <w:trPr>
          <w:tblHeader/>
        </w:trPr>
        <w:tc>
          <w:tcPr>
            <w:tcW w:type="dxa" w:w="18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Manager</w:t>
            </w:r>
          </w:p>
        </w:tc>
        <w:tc>
          <w:tcPr>
            <w:tcW w:type="dxa" w:w="16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US</w:t>
            </w:r>
          </w:p>
        </w:tc>
        <w:tc>
          <w:tcPr>
            <w:tcW w:type="dxa" w:w="16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Europe</w:t>
            </w:r>
          </w:p>
        </w:tc>
        <w:tc>
          <w:tcPr>
            <w:tcW w:type="dxa" w:w="160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Japan / Asia DM</w:t>
            </w:r>
          </w:p>
        </w:tc>
        <w:tc>
          <w:tcPr>
            <w:tcW w:type="dxa" w:w="2760"/>
            <w:tcBorders>
              <w:top w:val="single" w:color="BFBFBF" w:sz="4"/>
              <w:left w:val="single" w:color="BFBFBF" w:sz="4"/>
              <w:bottom w:val="single" w:color="BFBFBF" w:sz="4"/>
              <w:right w:val="single" w:color="BFBFBF" w:sz="4"/>
            </w:tcBorders>
            <w:shd w:fill="E8EEF7" w:val="clear"/>
            <w:tcMar>
              <w:top w:type="dxa" w:w="80"/>
              <w:left w:type="dxa" w:w="120"/>
              <w:bottom w:type="dxa" w:w="80"/>
              <w:right w:type="dxa" w:w="120"/>
            </w:tcMar>
          </w:tcPr>
          <w:p>
            <w:r>
              <w:rPr>
                <w:b/>
                <w:bCs/>
                <w:sz w:val="20"/>
                <w:szCs w:val="20"/>
              </w:rPr>
              <w:t xml:space="preserve">EM</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BlackRock</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Overweight — lean into AI [1][2]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Selective value (defence, banks, UK small caps) [2]</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(Japan reform/fiscal) [1]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 AI beneficiaries + commodity exporters [1]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Russell Investments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but 'higher bar' [5]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Higher bar; dispersion theme [5]</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within DM [5]</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Preferred overweight — leadership broadening [5]</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Morningstar</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Barbell; ~5% discount to FV [6]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Selective value pockets [6]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on Asia ex-Japan/North Asia [7]</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Asia / EM [7]</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Dimensional</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Structurally diversified — flags concentration risk [8][9]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Diversified global exposure [9]</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Diversified global exposure [9]</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Diversified — supports EM allocation discipline [9]</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Goldman Sachs (ISG / GSAM)</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Overweight — 'US Preeminence' [10][11]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on German fiscal-led recovery [11]</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Japan; BoJ delay [11]</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Standout — +12% YTD earnings-driven; LatAm + N. Asia [10][11]</w:t>
            </w:r>
          </w:p>
        </w:tc>
      </w:tr>
      <w:tr>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b/>
                <w:bCs/>
                <w:sz w:val="20"/>
                <w:szCs w:val="20"/>
              </w:rPr>
              <w:t xml:space="preserve">Morgan Stanley (GIC)</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Overweight — S&amp;P 8,300 target; 23% '26 EPS [13][14]</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U-shaped recovery; fiscal + AI adoption [16]</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within DM tilt [13]</w:t>
            </w:r>
          </w:p>
        </w:tc>
        <w:tc>
          <w:tcPr>
            <w:tcW w:type="dxa" w:w="2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Constructive; geopolitics flagged [13]</w:t>
            </w:r>
          </w:p>
        </w:tc>
      </w:tr>
    </w:tbl>
    <w:p>
      <w:pPr>
        <w:spacing w:after="120"/>
      </w:pPr>
      <w:r>
        <w:t xml:space="preserve"/>
      </w:r>
    </w:p>
    <w:p>
      <w:pPr>
        <w:pStyle w:val="Heading2"/>
      </w:pPr>
      <w:r>
        <w:t xml:space="preserve">Common headwind narratives</w:t>
      </w:r>
    </w:p>
    <w:p>
      <w:pPr>
        <w:pStyle w:val="ListParagraph"/>
        <w:numPr>
          <w:ilvl w:val="0"/>
          <w:numId w:val="2"/>
        </w:numPr>
        <w:spacing w:after="80"/>
      </w:pPr>
      <w:r>
        <w:t xml:space="preserve">Middle East escalation and energy-price shock — all six managers reference; Morgan Stanley calls it the single largest variable [11][13].</w:t>
      </w:r>
    </w:p>
    <w:p>
      <w:pPr>
        <w:pStyle w:val="ListParagraph"/>
        <w:numPr>
          <w:ilvl w:val="0"/>
          <w:numId w:val="2"/>
        </w:numPr>
        <w:spacing w:after="80"/>
      </w:pPr>
      <w:r>
        <w:t xml:space="preserve">AI capex sustainability and the question of revenue translation — Morningstar and Russell most explicit [5][6].</w:t>
      </w:r>
    </w:p>
    <w:p>
      <w:pPr>
        <w:pStyle w:val="ListParagraph"/>
        <w:numPr>
          <w:ilvl w:val="0"/>
          <w:numId w:val="2"/>
        </w:numPr>
        <w:spacing w:after="80"/>
      </w:pPr>
      <w:r>
        <w:t xml:space="preserve">Market concentration risk — BlackRock, Morningstar, Dimensional [1][6][8].</w:t>
      </w:r>
    </w:p>
    <w:p>
      <w:pPr>
        <w:pStyle w:val="ListParagraph"/>
        <w:numPr>
          <w:ilvl w:val="0"/>
          <w:numId w:val="2"/>
        </w:numPr>
        <w:spacing w:after="80"/>
      </w:pPr>
      <w:r>
        <w:t xml:space="preserve">Tariff and trade-policy uncertainty — Dimensional, Goldman [9][11].</w:t>
      </w:r>
    </w:p>
    <w:p>
      <w:pPr>
        <w:pStyle w:val="Heading2"/>
      </w:pPr>
      <w:r>
        <w:t xml:space="preserve">Common tailwind narratives</w:t>
      </w:r>
    </w:p>
    <w:p>
      <w:pPr>
        <w:pStyle w:val="ListParagraph"/>
        <w:numPr>
          <w:ilvl w:val="0"/>
          <w:numId w:val="2"/>
        </w:numPr>
        <w:spacing w:after="80"/>
      </w:pPr>
      <w:r>
        <w:t xml:space="preserve">Strong Q1/Q2 earnings; full-year EPS growth tracking ~23% [3][13].</w:t>
      </w:r>
    </w:p>
    <w:p>
      <w:pPr>
        <w:pStyle w:val="ListParagraph"/>
        <w:numPr>
          <w:ilvl w:val="0"/>
          <w:numId w:val="2"/>
        </w:numPr>
        <w:spacing w:after="80"/>
      </w:pPr>
      <w:r>
        <w:t xml:space="preserve">AI productivity as disinflationary and earnings-positive [10][11].</w:t>
      </w:r>
    </w:p>
    <w:p>
      <w:pPr>
        <w:pStyle w:val="ListParagraph"/>
        <w:numPr>
          <w:ilvl w:val="0"/>
          <w:numId w:val="2"/>
        </w:numPr>
        <w:spacing w:after="80"/>
      </w:pPr>
      <w:r>
        <w:t xml:space="preserve">Continued Fed easing path; central banks expected to look through energy shock [11].</w:t>
      </w:r>
    </w:p>
    <w:p>
      <w:pPr>
        <w:pStyle w:val="ListParagraph"/>
        <w:numPr>
          <w:ilvl w:val="0"/>
          <w:numId w:val="2"/>
        </w:numPr>
        <w:spacing w:after="80"/>
      </w:pPr>
      <w:r>
        <w:t xml:space="preserve">German fiscal expansion supporting European earnings [11][16].</w:t>
      </w:r>
    </w:p>
    <w:p>
      <w:pPr>
        <w:pStyle w:val="ListParagraph"/>
        <w:numPr>
          <w:ilvl w:val="0"/>
          <w:numId w:val="2"/>
        </w:numPr>
        <w:spacing w:after="80"/>
      </w:pPr>
      <w:r>
        <w:t xml:space="preserve">EM earnings momentum (especially North Asia, LatAm) driven by AI hardware demand and commodity strength [5][11].</w:t>
      </w:r>
    </w:p>
    <w:p>
      <w:r>
        <w:br w:type="page"/>
      </w:r>
    </w:p>
    <w:p>
      <w:pPr>
        <w:pStyle w:val="Heading1"/>
      </w:pPr>
      <w:r>
        <w:t xml:space="preserve">6. Citations</w:t>
      </w:r>
    </w:p>
    <w:p>
      <w:pPr>
        <w:spacing w:after="120"/>
      </w:pPr>
      <w:r>
        <w:t xml:space="preserve">Numbered references used in the body. Citations are to publication date, not access date. Where a manager's current-quarter document was unavailable, the most recent available publication is used and noted in the label.</w:t>
      </w:r>
    </w:p>
    <w:p>
      <w:pPr>
        <w:spacing w:after="60"/>
      </w:pPr>
      <w:r>
        <w:rPr>
          <w:b/>
          <w:bCs/>
        </w:rPr>
        <w:t xml:space="preserve">[1] </w:t>
      </w:r>
      <w:r>
        <w:t xml:space="preserve">BlackRock Investment Institute — Q2 2026 Investment Outlook (published Mar 31, 2026) — </w:t>
      </w:r>
      <w:hyperlink w:history="1" r:id="rIdgod8lnhbxo172gfy3q3un">
        <w:r>
          <w:rPr>
            <w:rStyle w:val="Hyperlink"/>
          </w:rPr>
          <w:t xml:space="preserve">https://www.blackrock.com/corporate/insights/blackrock-investment-institute/publications/outlook</w:t>
        </w:r>
      </w:hyperlink>
    </w:p>
    <w:p>
      <w:pPr>
        <w:spacing w:after="60"/>
      </w:pPr>
      <w:r>
        <w:rPr>
          <w:b/>
          <w:bCs/>
        </w:rPr>
        <w:t xml:space="preserve">[2] </w:t>
      </w:r>
      <w:r>
        <w:t xml:space="preserve">BlackRock — Q2 2026 Equity Market Outlook (advisor channel, Q2 2026) — </w:t>
      </w:r>
      <w:hyperlink w:history="1" r:id="rIdk57x9gtstct3li9iu_d0s">
        <w:r>
          <w:rPr>
            <w:rStyle w:val="Hyperlink"/>
          </w:rPr>
          <w:t xml:space="preserve">https://www.blackrock.com/us/individual/insights/equity-market-outlook</w:t>
        </w:r>
      </w:hyperlink>
    </w:p>
    <w:p>
      <w:pPr>
        <w:spacing w:after="60"/>
      </w:pPr>
      <w:r>
        <w:rPr>
          <w:b/>
          <w:bCs/>
        </w:rPr>
        <w:t xml:space="preserve">[3] </w:t>
      </w:r>
      <w:r>
        <w:t xml:space="preserve">Russell Investments — Markets climb as risks ease and earnings deliver (Monthly Wrap, April 2026) — </w:t>
      </w:r>
      <w:hyperlink w:history="1" r:id="rIdsx-cuutz4hmgo6otcj2yi">
        <w:r>
          <w:rPr>
            <w:rStyle w:val="Hyperlink"/>
          </w:rPr>
          <w:t xml:space="preserve">https://russellinvestments.com/content/ri/us/en/insights/russell-research/2026/04/Markets-climb-as-risks-ease-and-earnings-deliver-mwir.html</w:t>
        </w:r>
      </w:hyperlink>
    </w:p>
    <w:p>
      <w:pPr>
        <w:spacing w:after="60"/>
      </w:pPr>
      <w:r>
        <w:rPr>
          <w:b/>
          <w:bCs/>
        </w:rPr>
        <w:t xml:space="preserve">[4] </w:t>
      </w:r>
      <w:r>
        <w:t xml:space="preserve">Russell Investments — Markets Rally as IPO Momentum Builds (May 27, 2026) — </w:t>
      </w:r>
      <w:hyperlink w:history="1" r:id="rIdvpmsskefluss73hiynqd1">
        <w:r>
          <w:rPr>
            <w:rStyle w:val="Hyperlink"/>
          </w:rPr>
          <w:t xml:space="preserve">https://www.advisorperspectives.com/commentaries/2026/05/27/markets-rally-ipo-momentum</w:t>
        </w:r>
      </w:hyperlink>
    </w:p>
    <w:p>
      <w:pPr>
        <w:spacing w:after="60"/>
      </w:pPr>
      <w:r>
        <w:rPr>
          <w:b/>
          <w:bCs/>
        </w:rPr>
        <w:t xml:space="preserve">[5] </w:t>
      </w:r>
      <w:r>
        <w:t xml:space="preserve">Russell Investments — Global Equities Face Higher Bar in 2026 (Jan 9, 2026) — </w:t>
      </w:r>
      <w:hyperlink w:history="1" r:id="rId2k37s8xhglzdwcwnrwiif">
        <w:r>
          <w:rPr>
            <w:rStyle w:val="Hyperlink"/>
          </w:rPr>
          <w:t xml:space="preserve">https://russellinvestments.com/content/ri/uk/en-gb/insights/russell-research/2026/01/january-global-equity-brief1.html</w:t>
        </w:r>
      </w:hyperlink>
    </w:p>
    <w:p>
      <w:pPr>
        <w:spacing w:after="60"/>
      </w:pPr>
      <w:r>
        <w:rPr>
          <w:b/>
          <w:bCs/>
        </w:rPr>
        <w:t xml:space="preserve">[6] </w:t>
      </w:r>
      <w:r>
        <w:t xml:space="preserve">Morningstar — Q2 2026 Stock Market Outlook: Don't Panic, Readjust (Apr 2026) — </w:t>
      </w:r>
      <w:hyperlink w:history="1" r:id="rIdvojutjzx5dj76oa43yj7e">
        <w:r>
          <w:rPr>
            <w:rStyle w:val="Hyperlink"/>
          </w:rPr>
          <w:t xml:space="preserve">https://www.morningstar.com/markets/q2-2026-stock-market-outlook-dont-panic-readjust</w:t>
        </w:r>
      </w:hyperlink>
    </w:p>
    <w:p>
      <w:pPr>
        <w:spacing w:after="60"/>
      </w:pPr>
      <w:r>
        <w:rPr>
          <w:b/>
          <w:bCs/>
        </w:rPr>
        <w:t xml:space="preserve">[7] </w:t>
      </w:r>
      <w:r>
        <w:t xml:space="preserve">Morningstar — Asia Equity Market Outlook Q2 2026 — </w:t>
      </w:r>
      <w:hyperlink w:history="1" r:id="rIdlkd6i45_mvmewu3nrfat9">
        <w:r>
          <w:rPr>
            <w:rStyle w:val="Hyperlink"/>
          </w:rPr>
          <w:t xml:space="preserve">https://www.morningstar.com/business/insights/research/asia-equity-quarterly-outlook</w:t>
        </w:r>
      </w:hyperlink>
    </w:p>
    <w:p>
      <w:pPr>
        <w:spacing w:after="60"/>
      </w:pPr>
      <w:r>
        <w:rPr>
          <w:b/>
          <w:bCs/>
        </w:rPr>
        <w:t xml:space="preserve">[8] </w:t>
      </w:r>
      <w:r>
        <w:t xml:space="preserve">Dimensional Fund Advisors — Insights from PCG: Q1 2026 Market Themes — </w:t>
      </w:r>
      <w:hyperlink w:history="1" r:id="rIdzp52fhdtqfszqy0lmajic">
        <w:r>
          <w:rPr>
            <w:rStyle w:val="Hyperlink"/>
          </w:rPr>
          <w:t xml:space="preserve">https://www.dimensional.com/us-en/insights/insights-from-dimensionals-portfolio-consulting-group-q1-2026-market-themes</w:t>
        </w:r>
      </w:hyperlink>
    </w:p>
    <w:p>
      <w:pPr>
        <w:spacing w:after="60"/>
      </w:pPr>
      <w:r>
        <w:rPr>
          <w:b/>
          <w:bCs/>
        </w:rPr>
        <w:t xml:space="preserve">[9] </w:t>
      </w:r>
      <w:r>
        <w:t xml:space="preserve">Dimensional Fund Advisors — Quarterly Review: After a Promising Start to the Year, Market Gains Fade (Q1 2026) — </w:t>
      </w:r>
      <w:hyperlink w:history="1" r:id="rIdyre2qwdlai3jcrmgpt_dl">
        <w:r>
          <w:rPr>
            <w:rStyle w:val="Hyperlink"/>
          </w:rPr>
          <w:t xml:space="preserve">https://www.dimensional.com/gb-en/insights/quarterly-review-after-a-promising-start-to-the-year-market-gains-fade</w:t>
        </w:r>
      </w:hyperlink>
    </w:p>
    <w:p>
      <w:pPr>
        <w:spacing w:after="60"/>
      </w:pPr>
      <w:r>
        <w:rPr>
          <w:b/>
          <w:bCs/>
        </w:rPr>
        <w:t xml:space="preserve">[10] </w:t>
      </w:r>
      <w:r>
        <w:t xml:space="preserve">Goldman Sachs Asset Management — Investment Outlook 2026: Seeking Catalysts Amid Complexity — </w:t>
      </w:r>
      <w:hyperlink w:history="1" r:id="rIdt1mdjubbsmgs3t-kvz0mu">
        <w:r>
          <w:rPr>
            <w:rStyle w:val="Hyperlink"/>
          </w:rPr>
          <w:t xml:space="preserve">https://am.gs.com/cms-assets/gsam-app/documents/insights/en/2025/Investment-Outlook-2026.pdf</w:t>
        </w:r>
      </w:hyperlink>
    </w:p>
    <w:p>
      <w:pPr>
        <w:spacing w:after="60"/>
      </w:pPr>
      <w:r>
        <w:rPr>
          <w:b/>
          <w:bCs/>
        </w:rPr>
        <w:t xml:space="preserve">[11] </w:t>
      </w:r>
      <w:r>
        <w:t xml:space="preserve">Goldman Sachs Asset Management — US Market Pulse, March 2026 (Tse, Tousley, Guenther) — </w:t>
      </w:r>
      <w:hyperlink w:history="1" r:id="rId4xoucl5j32dokbauegpyf">
        <w:r>
          <w:rPr>
            <w:rStyle w:val="Hyperlink"/>
          </w:rPr>
          <w:t xml:space="preserve">https://am.gs.com/en-us/advisors/insights/article/market-pulse</w:t>
        </w:r>
      </w:hyperlink>
    </w:p>
    <w:p>
      <w:pPr>
        <w:spacing w:after="60"/>
      </w:pPr>
      <w:r>
        <w:rPr>
          <w:b/>
          <w:bCs/>
        </w:rPr>
        <w:t xml:space="preserve">[12] </w:t>
      </w:r>
      <w:r>
        <w:t xml:space="preserve">Goldman Sachs Asset Management — Market Know-How 2Q 2026 — </w:t>
      </w:r>
      <w:hyperlink w:history="1" r:id="rIdrqtw6xy7cumgerq7-xmwo">
        <w:r>
          <w:rPr>
            <w:rStyle w:val="Hyperlink"/>
          </w:rPr>
          <w:t xml:space="preserve">https://am.gs.com/en-us/advisors/insights/article/market-know-how</w:t>
        </w:r>
      </w:hyperlink>
    </w:p>
    <w:p>
      <w:pPr>
        <w:spacing w:after="60"/>
      </w:pPr>
      <w:r>
        <w:rPr>
          <w:b/>
          <w:bCs/>
        </w:rPr>
        <w:t xml:space="preserve">[13] </w:t>
      </w:r>
      <w:r>
        <w:t xml:space="preserve">Morgan Stanley Investment Management — Quarterly Global Market and Asset Allocation Guide Q2 2026 (May the BEAT) — </w:t>
      </w:r>
      <w:hyperlink w:history="1" r:id="rIdubla5a4lelqfqqkasazt9">
        <w:r>
          <w:rPr>
            <w:rStyle w:val="Hyperlink"/>
          </w:rPr>
          <w:t xml:space="preserve">https://www.morganstanley.com/im/publication/insights/articles/43274.pdf</w:t>
        </w:r>
      </w:hyperlink>
    </w:p>
    <w:p>
      <w:pPr>
        <w:spacing w:after="60"/>
      </w:pPr>
      <w:r>
        <w:rPr>
          <w:b/>
          <w:bCs/>
        </w:rPr>
        <w:t xml:space="preserve">[14] </w:t>
      </w:r>
      <w:r>
        <w:t xml:space="preserve">Morgan Stanley Wealth Management — Stock Market Bull Case 2026 (GIC) — </w:t>
      </w:r>
      <w:hyperlink w:history="1" r:id="rIdewwhsmlqwpmlmaa17co3b">
        <w:r>
          <w:rPr>
            <w:rStyle w:val="Hyperlink"/>
          </w:rPr>
          <w:t xml:space="preserve">https://www.morganstanley.com/insights/articles/stock-market-outlook-bull-market-risks-2026</w:t>
        </w:r>
      </w:hyperlink>
    </w:p>
    <w:p>
      <w:pPr>
        <w:spacing w:after="60"/>
      </w:pPr>
      <w:r>
        <w:rPr>
          <w:b/>
          <w:bCs/>
        </w:rPr>
        <w:t xml:space="preserve">[15] </w:t>
      </w:r>
      <w:r>
        <w:t xml:space="preserve">Morgan Stanley — Equity Rebound 2026: S&amp;P 500 Highs, Risks, Drivers — </w:t>
      </w:r>
      <w:hyperlink w:history="1" r:id="rIdixi7bzoexb71gokxgyobi">
        <w:r>
          <w:rPr>
            <w:rStyle w:val="Hyperlink"/>
          </w:rPr>
          <w:t xml:space="preserve">https://www.morganstanley.com/insights/articles/equity-rebound-2026-sp-500-highs-risks-drivers</w:t>
        </w:r>
      </w:hyperlink>
    </w:p>
    <w:p>
      <w:pPr>
        <w:spacing w:after="60"/>
      </w:pPr>
      <w:r>
        <w:rPr>
          <w:b/>
          <w:bCs/>
        </w:rPr>
        <w:t xml:space="preserve">[16] </w:t>
      </w:r>
      <w:r>
        <w:t xml:space="preserve">Morgan Stanley Research — The Outlook for European Stocks in 2026 (Walsh / Zavolock) — </w:t>
      </w:r>
      <w:hyperlink w:history="1" r:id="rIdjzsprkwu8syt0tgtbox8p">
        <w:r>
          <w:rPr>
            <w:rStyle w:val="Hyperlink"/>
          </w:rPr>
          <w:t xml:space="preserve">https://www.morganstanley.com/insights/podcasts/thoughts-on-the-market/european-stock-market-2026-investment-playbook-paul-walsh-marina-zavolock</w:t>
        </w:r>
      </w:hyperlink>
    </w:p>
    <w:p>
      <w:pPr>
        <w:spacing w:after="60" w:before="240"/>
      </w:pPr>
      <w:r>
        <w:rPr>
          <w:b/>
          <w:bCs/>
          <w:i/>
          <w:iCs/>
        </w:rPr>
        <w:t xml:space="preserve">Notes on coverage gaps</w:t>
      </w:r>
    </w:p>
    <w:p>
      <w:pPr>
        <w:spacing w:after="120"/>
      </w:pPr>
      <w:r>
        <w:t xml:space="preserve">Dimensional Fund Advisors, by house style, publishes a Quarterly Market Review rather than a forward-looking Quarterly Outlook with directional calls. Their Q1 2026 PCG insights document and global Quarterly Review are the closest comparable inputs; references to their views here are framed as portfolio-construction themes rather than directional equity calls. </w:t>
      </w:r>
    </w:p>
    <w:p>
      <w:pPr>
        <w:spacing w:after="120"/>
      </w:pPr>
      <w:r>
        <w:t xml:space="preserve">Morgan Stanley's 'Quarterly Global Market and Asset Allocation Guide Q2 2026' PDF [13] is the canonical GIC quarterly publication; the Wealth-channel articles [14][15] and the Research-channel European podcast [16] are used to supplement specific regional and numerical claims.</w:t>
      </w:r>
    </w:p>
    <w:p>
      <w:pPr>
        <w:spacing w:after="120"/>
      </w:pPr>
      <w:r>
        <w:t xml:space="preserve">Goldman's 'Market Pulse March 2026' [11] was the most recent fully-text-accessible monthly update; 'Investment Outlook 2026' [10] is the annual ISG anchor; 'Market Know-How 2Q 2026' [12] is referenced for the small-cap and global-rotation framing visible in linked Q2 deliverables.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08080"/>
        <w:sz w:val="18"/>
        <w:szCs w:val="18"/>
      </w:rPr>
      <w:t xml:space="preserve">Equity Outlook Synthesis — Q2 2026 (Internal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2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od8lnhbxo172gfy3q3un" Type="http://schemas.openxmlformats.org/officeDocument/2006/relationships/hyperlink" Target="https://www.blackrock.com/corporate/insights/blackrock-investment-institute/publications/outlook" TargetMode="External"/><Relationship Id="rIdk57x9gtstct3li9iu_d0s" Type="http://schemas.openxmlformats.org/officeDocument/2006/relationships/hyperlink" Target="https://www.blackrock.com/us/individual/insights/equity-market-outlook" TargetMode="External"/><Relationship Id="rIdsx-cuutz4hmgo6otcj2yi" Type="http://schemas.openxmlformats.org/officeDocument/2006/relationships/hyperlink" Target="https://russellinvestments.com/content/ri/us/en/insights/russell-research/2026/04/Markets-climb-as-risks-ease-and-earnings-deliver-mwir.html" TargetMode="External"/><Relationship Id="rIdvpmsskefluss73hiynqd1" Type="http://schemas.openxmlformats.org/officeDocument/2006/relationships/hyperlink" Target="https://www.advisorperspectives.com/commentaries/2026/05/27/markets-rally-ipo-momentum" TargetMode="External"/><Relationship Id="rId2k37s8xhglzdwcwnrwiif" Type="http://schemas.openxmlformats.org/officeDocument/2006/relationships/hyperlink" Target="https://russellinvestments.com/content/ri/uk/en-gb/insights/russell-research/2026/01/january-global-equity-brief1.html" TargetMode="External"/><Relationship Id="rIdvojutjzx5dj76oa43yj7e" Type="http://schemas.openxmlformats.org/officeDocument/2006/relationships/hyperlink" Target="https://www.morningstar.com/markets/q2-2026-stock-market-outlook-dont-panic-readjust" TargetMode="External"/><Relationship Id="rIdlkd6i45_mvmewu3nrfat9" Type="http://schemas.openxmlformats.org/officeDocument/2006/relationships/hyperlink" Target="https://www.morningstar.com/business/insights/research/asia-equity-quarterly-outlook" TargetMode="External"/><Relationship Id="rIdzp52fhdtqfszqy0lmajic" Type="http://schemas.openxmlformats.org/officeDocument/2006/relationships/hyperlink" Target="https://www.dimensional.com/us-en/insights/insights-from-dimensionals-portfolio-consulting-group-q1-2026-market-themes" TargetMode="External"/><Relationship Id="rIdyre2qwdlai3jcrmgpt_dl" Type="http://schemas.openxmlformats.org/officeDocument/2006/relationships/hyperlink" Target="https://www.dimensional.com/gb-en/insights/quarterly-review-after-a-promising-start-to-the-year-market-gains-fade" TargetMode="External"/><Relationship Id="rIdt1mdjubbsmgs3t-kvz0mu" Type="http://schemas.openxmlformats.org/officeDocument/2006/relationships/hyperlink" Target="https://am.gs.com/cms-assets/gsam-app/documents/insights/en/2025/Investment-Outlook-2026.pdf" TargetMode="External"/><Relationship Id="rId4xoucl5j32dokbauegpyf" Type="http://schemas.openxmlformats.org/officeDocument/2006/relationships/hyperlink" Target="https://am.gs.com/en-us/advisors/insights/article/market-pulse" TargetMode="External"/><Relationship Id="rIdrqtw6xy7cumgerq7-xmwo" Type="http://schemas.openxmlformats.org/officeDocument/2006/relationships/hyperlink" Target="https://am.gs.com/en-us/advisors/insights/article/market-know-how" TargetMode="External"/><Relationship Id="rIdubla5a4lelqfqqkasazt9" Type="http://schemas.openxmlformats.org/officeDocument/2006/relationships/hyperlink" Target="https://www.morganstanley.com/im/publication/insights/articles/43274.pdf" TargetMode="External"/><Relationship Id="rIdewwhsmlqwpmlmaa17co3b" Type="http://schemas.openxmlformats.org/officeDocument/2006/relationships/hyperlink" Target="https://www.morganstanley.com/insights/articles/stock-market-outlook-bull-market-risks-2026" TargetMode="External"/><Relationship Id="rIdixi7bzoexb71gokxgyobi" Type="http://schemas.openxmlformats.org/officeDocument/2006/relationships/hyperlink" Target="https://www.morganstanley.com/insights/articles/equity-rebound-2026-sp-500-highs-risks-drivers" TargetMode="External"/><Relationship Id="rIdjzsprkwu8syt0tgtbox8p" Type="http://schemas.openxmlformats.org/officeDocument/2006/relationships/hyperlink" Target="https://www.morganstanley.com/insights/podcasts/thoughts-on-the-market/european-stock-market-2026-investment-playbook-paul-walsh-marina-zavolock"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Equity Outlook Synthesis Q2 2026</dc:title>
  <dc:creator>Equity Research Analyst Agent</dc:creator>
  <cp:lastModifiedBy>Un-named</cp:lastModifiedBy>
  <cp:revision>1</cp:revision>
  <dcterms:created xsi:type="dcterms:W3CDTF">2026-05-28T03:11:31.066Z</dcterms:created>
  <dcterms:modified xsi:type="dcterms:W3CDTF">2026-05-28T03:11:31.066Z</dcterms:modified>
</cp:coreProperties>
</file>

<file path=docProps/custom.xml><?xml version="1.0" encoding="utf-8"?>
<Properties xmlns="http://schemas.openxmlformats.org/officeDocument/2006/custom-properties" xmlns:vt="http://schemas.openxmlformats.org/officeDocument/2006/docPropsVTypes"/>
</file>