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t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27 October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AgriTech Project Team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AgriTech - Smart Farm Management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t>AgriTech request flow: Browser React UI -&gt; Fetch API client -&gt; Express route -&gt; authentication/authorization middleware -&gt; controller -&gt; Mongoose model or in-memory store -&gt; JSON response.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t>Architecture boundary: frontend and backend are independently runnable; MongoDB is an optional persistence boundary.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 Interface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browser-based farm workspace with farmer and admin views.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 18, Vite, JSX, CSS, lucide-react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Application Logic-1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Frontend state, navigation, forms, local session state, and API integration.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 hooks, JavaScript ES modules, Fetch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Application Logic-2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 API, MVC routing, validation, ownership checks, dashboard, bookings, monitoring, and community logic.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Node.js, Express.js, CommonJS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Application Logic-3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Authentication and authorization middleware for farmer/admin access.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jsonwebtoken, bcryptjs, Express middleware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Documents for users, farms, crops, products, bookings, soil readings, alerts, and discussions.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MongoDB with Mongoose schemas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Cloud Database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Optional persistent deployment database; local fallback is used if MongoDB is not configured.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MongoDB via MONGODB_URI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File Storage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application file-upload workflow is currently implemented; source/configuration are stored in the repository.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 filesystem / Git repository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External API-1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Current weather lookup by city; enabled only when an API key is configured.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OpenWeatherMap REST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External API-2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second external API is currently required.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Machine Learning Model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machine-learning model is currently implemented; dashboard yield/health values are product presentation data.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Infrastructure (Server / Cloud)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Vite development server serves frontend; Express serves API on port 5000; can run locally or be deployed separately.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Node.js runtime, npm, Vite, Express, optional MongoDB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Open-Source Frameworks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Uses open-source React/Vite frontend and Express/Node.js backend with Mongoose persistence.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 18, Vite, Express 4, Mongoose 8, lucide-react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 Implementations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JWT Bearer tokens, bcrypt password hashing, role authorization, resource ownership checks, security headers, CORS allowlisting, and request rate limiting.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jsonwebtoken, bcryptjs, Helmet, cors, express-rate-limit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Scalable Architecture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Separation of frontend, REST API routes, controllers, middleware, and models permits independent changes and deployment.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 SPA + Express MVC + MongoDB adapter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Local startup works without MongoDB through the seeded in-memory store; MongoDB provides durable data for deployed environments.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In-memory fallback, MongoDB, /api/health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Vite bundling, compact JSON APIs, targeted resource queries, and a default rate limit protect the service. No cache/CDN is currently configured.</w:t>
            </w:r>
          </w:p>
        </w:tc>
        <w:tc>
          <w:tcP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Vite build, Express JSON, rate limiter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r>
        <w:t>Project reference: see README.md, server/README.md, and source folders for the implemented architecture.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>
        <w:t>Project reference: see README.md, server/README.md, and source folders for the implemented architecture.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>
        <w:t>Project reference: see README.md, server/README.md, and source folders for the implemented architecture.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>
        <w:t>Project reference: see README.md, server/README.md, and source folders for the implemented architecture.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>
        <w:t>Project reference: see README.md, server/README.md, and source folders for the implemented architecture.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