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pStyle w:val="Heading1"/>
        <w:spacing w:before="1080" w:after="160"/>
      </w:pPr>
      <w:r>
        <w:t>Cash-or-Stock Election Arbitrage</w:t>
      </w:r>
    </w:p>
    <w:p>
      <w:pPr>
        <w:spacing w:after="200"/>
      </w:pPr>
      <w:r>
        <w:rPr>
          <w:rFonts w:ascii="Aptos Display" w:hAnsi="Aptos Display" w:eastAsia="Aptos Display"/>
          <w:color w:val="0F4761"/>
          <w:sz w:val="28"/>
        </w:rPr>
        <w:t>Predicting shareholder election demand to price merger arbitrage</w:t>
      </w:r>
    </w:p>
    <w:p>
      <w:pPr>
        <w:spacing w:after="60"/>
      </w:pPr>
      <w:r>
        <w:rPr>
          <w:rFonts w:ascii="Cambria" w:hAnsi="Cambria" w:eastAsia="Cambria"/>
          <w:b/>
          <w:sz w:val="22"/>
        </w:rPr>
        <w:t>Alvin Yu · Xiangyu Wang</w:t>
      </w:r>
      <w:r>
        <w:rPr>
          <w:rFonts w:ascii="Cambria" w:hAnsi="Cambria" w:eastAsia="Cambria"/>
          <w:sz w:val="21"/>
        </w:rPr>
        <w:t xml:space="preserve"> — UC Berkeley Haas / JPM Project 3ii — July 2026</w:t>
      </w:r>
    </w:p>
    <w:p>
      <w:pPr>
        <w:spacing w:after="100"/>
      </w:pPr>
      <w:r>
        <w:rPr>
          <w:rFonts w:ascii="Cambria" w:hAnsi="Cambria" w:eastAsia="Cambria"/>
          <w:i/>
          <w:color w:val="666666"/>
          <w:sz w:val="18"/>
        </w:rPr>
        <w:t>Updated model and strategy report · reference run b3bf523</w:t>
      </w:r>
    </w:p>
    <w:p>
      <w:pPr>
        <w:spacing w:before="40" w:after="160"/>
        <w:pBdr>
          <w:bottom w:val="single" w:sz="8" w:space="1" w:color="0F4761"/>
        </w:pBdr>
      </w:pPr>
    </w:p>
    <w:p>
      <w:pPr>
        <w:pStyle w:val="Heading2"/>
        <w:keepNext/>
      </w:pPr>
      <w:r>
        <w:t>Executive Summary</w:t>
      </w:r>
    </w:p>
    <w:p>
      <w:pPr>
        <w:pStyle w:val="FirstParagraph"/>
        <w:jc w:val="both"/>
      </w:pPr>
      <w:r>
        <w:t>Cash-or-stock merger elections create a proration opportunity because the aggregate cash and stock pools are fixed while individual shareholders may elect either form. The passive blended consideration is demand-independent; an active investor can earn more by electing the richer side when that side is under-subscribed. This project turns that mechanism into an end-to-end research pipeline: SEC term extraction, election-demand calibration, proration Monte Carlo, deal-outcome probabilities, risk gates, capacity sizing, and historical hedged-return reconstruction.</w:t>
      </w:r>
    </w:p>
    <w:p>
      <w:pPr>
        <w:pStyle w:val="BodyText"/>
        <w:jc w:val="both"/>
      </w:pPr>
      <w:r>
        <w:t>The updated run separates ex-ante economics from historical validation. Twenty trades clear the decision gates and can be sized; sixteen have enough settlement information for direct realized-payoff validation; eighteen have enough common target/acquirer price history for daily-path reconstruction. These are related but distinct samples.</w:t>
      </w:r>
    </w:p>
    <w:tbl>
      <w:tblPr>
        <w:tblW w:type="auto" w:w="0"/>
        <w:jc w:val="center"/>
        <w:tblLayout w:type="fixed"/>
        <w:tblLook w:firstColumn="1" w:firstRow="1" w:lastColumn="0" w:lastRow="0" w:noHBand="0" w:noVBand="1" w:val="04A0"/>
      </w:tblPr>
      <w:tblGrid>
        <w:gridCol w:w="4939"/>
        <w:gridCol w:w="4939"/>
      </w:tblGrid>
      <w:tr>
        <w:trPr>
          <w:tblHeader w:val="true"/>
          <w:tblHeader w:val="true"/>
        </w:trPr>
        <w:tc>
          <w:tcPr>
            <w:tcW w:type="dxa" w:w="2376"/>
            <w:shd w:fill="0F4761"/>
            <w:tcBorders>
              <w:top w:val="single" w:sz="3" w:space="0" w:color="FFFFFF"/>
              <w:left w:val="single" w:sz="3" w:space="0" w:color="FFFFFF"/>
              <w:bottom w:val="single" w:sz="3" w:space="0" w:color="FFFFFF"/>
              <w:right w:val="single" w:sz="3" w:space="0" w:color="FFFFFF"/>
              <w:insideH w:val="single" w:sz="3" w:space="0" w:color="FFFFFF"/>
              <w:insideV w:val="single" w:sz="3" w:space="0" w:color="FFFFFF"/>
            </w:tcBorders>
            <w:tcMar>
              <w:top w:w="70" w:type="dxa"/>
              <w:start w:w="90" w:type="dxa"/>
              <w:bottom w:w="70" w:type="dxa"/>
              <w:end w:w="90" w:type="dxa"/>
            </w:tcMar>
            <w:vAlign w:val="center"/>
          </w:tcPr>
          <w:p>
            <w:pPr>
              <w:spacing w:after="0"/>
              <w:jc w:val="center"/>
            </w:pPr>
            <w:r>
              <w:rPr>
                <w:rFonts w:ascii="Aptos" w:hAnsi="Aptos" w:eastAsia="Aptos"/>
                <w:b/>
                <w:color w:val="FFFFFF"/>
                <w:sz w:val="17"/>
              </w:rPr>
              <w:t>Area</w:t>
            </w:r>
          </w:p>
        </w:tc>
        <w:tc>
          <w:tcPr>
            <w:tcW w:type="dxa" w:w="7200"/>
            <w:shd w:fill="0F4761"/>
            <w:tcBorders>
              <w:top w:val="single" w:sz="3" w:space="0" w:color="FFFFFF"/>
              <w:left w:val="single" w:sz="3" w:space="0" w:color="FFFFFF"/>
              <w:bottom w:val="single" w:sz="3" w:space="0" w:color="FFFFFF"/>
              <w:right w:val="single" w:sz="3" w:space="0" w:color="FFFFFF"/>
              <w:insideH w:val="single" w:sz="3" w:space="0" w:color="FFFFFF"/>
              <w:insideV w:val="single" w:sz="3" w:space="0" w:color="FFFFFF"/>
            </w:tcBorders>
            <w:tcMar>
              <w:top w:w="70" w:type="dxa"/>
              <w:start w:w="90" w:type="dxa"/>
              <w:bottom w:w="70" w:type="dxa"/>
              <w:end w:w="90" w:type="dxa"/>
            </w:tcMar>
            <w:vAlign w:val="center"/>
          </w:tcPr>
          <w:p>
            <w:pPr>
              <w:spacing w:after="0"/>
              <w:jc w:val="center"/>
            </w:pPr>
            <w:r>
              <w:rPr>
                <w:rFonts w:ascii="Aptos" w:hAnsi="Aptos" w:eastAsia="Aptos"/>
                <w:b/>
                <w:color w:val="FFFFFF"/>
                <w:sz w:val="17"/>
              </w:rPr>
              <w:t>Current result</w:t>
            </w:r>
          </w:p>
        </w:tc>
      </w:tr>
      <w:tr>
        <w:trPr>
          <w:cantSplit/>
        </w:trPr>
        <w:tc>
          <w:tcPr>
            <w:tcW w:type="dxa" w:w="2376"/>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center"/>
          </w:tcPr>
          <w:p>
            <w:pPr>
              <w:spacing w:after="0"/>
              <w:jc w:val="left"/>
            </w:pPr>
            <w:r>
              <w:rPr>
                <w:rFonts w:ascii="Cambria" w:hAnsi="Cambria" w:eastAsia="Cambria"/>
                <w:sz w:val="17"/>
              </w:rPr>
              <w:t>Demand calibration</w:t>
            </w:r>
          </w:p>
        </w:tc>
        <w:tc>
          <w:tcPr>
            <w:tcW w:type="dxa" w:w="7200"/>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center"/>
          </w:tcPr>
          <w:p>
            <w:pPr>
              <w:spacing w:after="0"/>
              <w:jc w:val="left"/>
            </w:pPr>
            <w:r>
              <w:rPr>
                <w:rFonts w:ascii="Cambria" w:hAnsi="Cambria" w:eastAsia="Cambria"/>
                <w:sz w:val="17"/>
              </w:rPr>
              <w:t>73 labels; Beta(0.59, 0.793); KS p = 0.959</w:t>
            </w:r>
          </w:p>
        </w:tc>
      </w:tr>
      <w:tr>
        <w:trPr>
          <w:cantSplit/>
        </w:trPr>
        <w:tc>
          <w:tcPr>
            <w:tcW w:type="dxa" w:w="2376"/>
            <w:shd w:fill="F2F2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center"/>
          </w:tcPr>
          <w:p>
            <w:pPr>
              <w:spacing w:after="0"/>
              <w:jc w:val="left"/>
            </w:pPr>
            <w:r>
              <w:rPr>
                <w:rFonts w:ascii="Cambria" w:hAnsi="Cambria" w:eastAsia="Cambria"/>
                <w:sz w:val="17"/>
              </w:rPr>
              <w:t>Outcome probabilities</w:t>
            </w:r>
          </w:p>
        </w:tc>
        <w:tc>
          <w:tcPr>
            <w:tcW w:type="dxa" w:w="7200"/>
            <w:shd w:fill="F2F2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center"/>
          </w:tcPr>
          <w:p>
            <w:pPr>
              <w:spacing w:after="0"/>
              <w:jc w:val="left"/>
            </w:pPr>
            <w:r>
              <w:rPr>
                <w:rFonts w:ascii="Cambria" w:hAnsi="Cambria" w:eastAsia="Cambria"/>
                <w:sz w:val="17"/>
              </w:rPr>
              <w:t>Temporal OOS Brier 0.307 vs 0.317 prior-only; +3.0% skill</w:t>
            </w:r>
          </w:p>
        </w:tc>
      </w:tr>
      <w:tr>
        <w:trPr>
          <w:cantSplit/>
        </w:trPr>
        <w:tc>
          <w:tcPr>
            <w:tcW w:type="dxa" w:w="2376"/>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center"/>
          </w:tcPr>
          <w:p>
            <w:pPr>
              <w:spacing w:after="0"/>
              <w:jc w:val="left"/>
            </w:pPr>
            <w:r>
              <w:rPr>
                <w:rFonts w:ascii="Cambria" w:hAnsi="Cambria" w:eastAsia="Cambria"/>
                <w:sz w:val="17"/>
              </w:rPr>
              <w:t>Trade decisions</w:t>
            </w:r>
          </w:p>
        </w:tc>
        <w:tc>
          <w:tcPr>
            <w:tcW w:type="dxa" w:w="7200"/>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center"/>
          </w:tcPr>
          <w:p>
            <w:pPr>
              <w:spacing w:after="0"/>
              <w:jc w:val="left"/>
            </w:pPr>
            <w:r>
              <w:rPr>
                <w:rFonts w:ascii="Cambria" w:hAnsi="Cambria" w:eastAsia="Cambria"/>
                <w:sz w:val="17"/>
              </w:rPr>
              <w:t>88 priced: 10 ENTER, 10 REVERSE, 20 REVIEW, 48 PASS-family</w:t>
            </w:r>
          </w:p>
        </w:tc>
      </w:tr>
      <w:tr>
        <w:trPr>
          <w:cantSplit/>
        </w:trPr>
        <w:tc>
          <w:tcPr>
            <w:tcW w:type="dxa" w:w="2376"/>
            <w:shd w:fill="F2F2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center"/>
          </w:tcPr>
          <w:p>
            <w:pPr>
              <w:spacing w:after="0"/>
              <w:jc w:val="left"/>
            </w:pPr>
            <w:r>
              <w:rPr>
                <w:rFonts w:ascii="Cambria" w:hAnsi="Cambria" w:eastAsia="Cambria"/>
                <w:sz w:val="17"/>
              </w:rPr>
              <w:t>Capacity economics</w:t>
            </w:r>
          </w:p>
        </w:tc>
        <w:tc>
          <w:tcPr>
            <w:tcW w:type="dxa" w:w="7200"/>
            <w:shd w:fill="F2F2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center"/>
          </w:tcPr>
          <w:p>
            <w:pPr>
              <w:spacing w:after="0"/>
              <w:jc w:val="left"/>
            </w:pPr>
            <w:r>
              <w:rPr>
                <w:rFonts w:ascii="Cambria" w:hAnsi="Cambria" w:eastAsia="Cambria"/>
                <w:sz w:val="17"/>
              </w:rPr>
              <w:t>$621.4m target-leg opportunity; $39.9m expected P&amp;L; 6.42%</w:t>
            </w:r>
          </w:p>
        </w:tc>
      </w:tr>
      <w:tr>
        <w:trPr>
          <w:cantSplit/>
        </w:trPr>
        <w:tc>
          <w:tcPr>
            <w:tcW w:type="dxa" w:w="2376"/>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center"/>
          </w:tcPr>
          <w:p>
            <w:pPr>
              <w:spacing w:after="0"/>
              <w:jc w:val="left"/>
            </w:pPr>
            <w:r>
              <w:rPr>
                <w:rFonts w:ascii="Cambria" w:hAnsi="Cambria" w:eastAsia="Cambria"/>
                <w:sz w:val="17"/>
              </w:rPr>
              <w:t>Settlement validation</w:t>
            </w:r>
          </w:p>
        </w:tc>
        <w:tc>
          <w:tcPr>
            <w:tcW w:type="dxa" w:w="7200"/>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center"/>
          </w:tcPr>
          <w:p>
            <w:pPr>
              <w:spacing w:after="0"/>
              <w:jc w:val="left"/>
            </w:pPr>
            <w:r>
              <w:rPr>
                <w:rFonts w:ascii="Cambria" w:hAnsi="Cambria" w:eastAsia="Cambria"/>
                <w:sz w:val="17"/>
              </w:rPr>
              <w:t>16 trades; $17.0m realized P&amp;L; expected-realized correlation 0.78</w:t>
            </w:r>
          </w:p>
        </w:tc>
      </w:tr>
      <w:tr>
        <w:trPr>
          <w:cantSplit/>
        </w:trPr>
        <w:tc>
          <w:tcPr>
            <w:tcW w:type="dxa" w:w="2376"/>
            <w:shd w:fill="F2F2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center"/>
          </w:tcPr>
          <w:p>
            <w:pPr>
              <w:spacing w:after="0"/>
              <w:jc w:val="left"/>
            </w:pPr>
            <w:r>
              <w:rPr>
                <w:rFonts w:ascii="Cambria" w:hAnsi="Cambria" w:eastAsia="Cambria"/>
                <w:sz w:val="17"/>
              </w:rPr>
              <w:t>Daily strategy history</w:t>
            </w:r>
          </w:p>
        </w:tc>
        <w:tc>
          <w:tcPr>
            <w:tcW w:type="dxa" w:w="7200"/>
            <w:shd w:fill="F2F2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center"/>
          </w:tcPr>
          <w:p>
            <w:pPr>
              <w:spacing w:after="0"/>
              <w:jc w:val="left"/>
            </w:pPr>
            <w:r>
              <w:rPr>
                <w:rFonts w:ascii="Cambria" w:hAnsi="Cambria" w:eastAsia="Cambria"/>
                <w:sz w:val="17"/>
              </w:rPr>
              <w:t>18 paths; Sharpe 1.08 active / 0.45 calendar; Sortino 3.07 / 1.27</w:t>
            </w:r>
          </w:p>
        </w:tc>
      </w:tr>
    </w:tbl>
    <w:p>
      <w:pPr>
        <w:spacing w:after="0"/>
      </w:pPr>
    </w:p>
    <w:tbl>
      <w:tblPr>
        <w:tblW w:type="auto" w:w="0"/>
        <w:jc w:val="center"/>
        <w:tblLayout w:type="autofit"/>
        <w:tblLook w:firstColumn="1" w:firstRow="1" w:lastColumn="0" w:lastRow="0" w:noHBand="0" w:noVBand="1" w:val="04A0"/>
      </w:tblPr>
      <w:tblGrid>
        <w:gridCol w:w="9878"/>
      </w:tblGrid>
      <w:tr>
        <w:tc>
          <w:tcPr>
            <w:tcW w:type="dxa" w:w="9878"/>
            <w:shd w:fill="EDF4F8"/>
            <w:tcBorders>
              <w:top w:val="single" w:sz="5" w:space="0" w:color="9FBAD0"/>
              <w:left w:val="single" w:sz="5" w:space="0" w:color="9FBAD0"/>
              <w:bottom w:val="single" w:sz="5" w:space="0" w:color="9FBAD0"/>
              <w:right w:val="single" w:sz="5" w:space="0" w:color="9FBAD0"/>
              <w:insideH w:val="single" w:sz="5" w:space="0" w:color="9FBAD0"/>
              <w:insideV w:val="single" w:sz="5" w:space="0" w:color="9FBAD0"/>
            </w:tcBorders>
            <w:tcMar>
              <w:top w:w="100" w:type="dxa"/>
              <w:start w:w="130" w:type="dxa"/>
              <w:bottom w:w="100" w:type="dxa"/>
              <w:end w:w="130" w:type="dxa"/>
            </w:tcMar>
          </w:tcPr>
          <w:p>
            <w:pPr>
              <w:spacing w:after="0"/>
            </w:pPr>
            <w:r>
              <w:rPr>
                <w:rFonts w:ascii="Cambria" w:hAnsi="Cambria" w:eastAsia="Cambria"/>
                <w:b/>
                <w:color w:val="0F4761"/>
                <w:sz w:val="20"/>
              </w:rPr>
              <w:t xml:space="preserve">Scope. </w:t>
            </w:r>
            <w:r>
              <w:rPr>
                <w:rFonts w:ascii="Cambria" w:hAnsi="Cambria" w:eastAsia="Cambria"/>
                <w:sz w:val="20"/>
              </w:rPr>
              <w:t>The historical executable sample contains completed outcomes only. Therefore completion-only and all-tradable historical ratios are identical in this run and should be read as survivorship-biased diagnostics, not as a fully investable all-outcome backtest.</w:t>
            </w:r>
          </w:p>
        </w:tc>
      </w:tr>
    </w:tbl>
    <w:p>
      <w:pPr>
        <w:spacing w:after="0"/>
      </w:pPr>
    </w:p>
    <w:p>
      <w:r>
        <w:br w:type="page"/>
      </w:r>
    </w:p>
    <w:p>
      <w:pPr>
        <w:pStyle w:val="Heading2"/>
        <w:keepNext/>
      </w:pPr>
      <w:r>
        <w:t>1. Introduction &amp; Motivation</w:t>
      </w:r>
    </w:p>
    <w:p>
      <w:pPr>
        <w:pStyle w:val="FirstParagraph"/>
        <w:jc w:val="both"/>
      </w:pPr>
      <w:r>
        <w:t>In a cash-or-stock election merger, each target shareholder chooses either a fixed cash amount or a fixed number of acquirer shares, subject to a proration cap that fixes the aggregate amount paid in each form. If cash demand exceeds the cash pool, cash electors are scaled back and receive a mix; the same mechanism applies symmetrically to stock.</w:t>
      </w:r>
    </w:p>
    <w:p>
      <w:pPr>
        <w:pStyle w:val="BodyText"/>
        <w:jc w:val="both"/>
      </w:pPr>
      <w:r>
        <w:t>The blended, cap-weighted average consideration is fixed and demand-independent. It is the passive settlement value. Active investors, however, may elect the side that is both richer and under-subscribed, capturing a consideration above the passive average. The edge depends on one latent state variable: f_cash, the fraction of shares electing cash.</w:t>
      </w:r>
    </w:p>
    <w:tbl>
      <w:tblPr>
        <w:tblW w:type="auto" w:w="0"/>
        <w:jc w:val="center"/>
        <w:tblLayout w:type="autofit"/>
        <w:tblLook w:firstColumn="1" w:firstRow="1" w:lastColumn="0" w:lastRow="0" w:noHBand="0" w:noVBand="1" w:val="04A0"/>
      </w:tblPr>
      <w:tblGrid>
        <w:gridCol w:w="9878"/>
      </w:tblGrid>
      <w:tr>
        <w:tc>
          <w:tcPr>
            <w:tcW w:type="dxa" w:w="9878"/>
            <w:shd w:fill="EDF4F8"/>
            <w:tcBorders>
              <w:top w:val="single" w:sz="5" w:space="0" w:color="9FBAD0"/>
              <w:left w:val="single" w:sz="5" w:space="0" w:color="9FBAD0"/>
              <w:bottom w:val="single" w:sz="5" w:space="0" w:color="9FBAD0"/>
              <w:right w:val="single" w:sz="5" w:space="0" w:color="9FBAD0"/>
              <w:insideH w:val="single" w:sz="5" w:space="0" w:color="9FBAD0"/>
              <w:insideV w:val="single" w:sz="5" w:space="0" w:color="9FBAD0"/>
            </w:tcBorders>
            <w:tcMar>
              <w:top w:w="100" w:type="dxa"/>
              <w:start w:w="130" w:type="dxa"/>
              <w:bottom w:w="100" w:type="dxa"/>
              <w:end w:w="130" w:type="dxa"/>
            </w:tcMar>
          </w:tcPr>
          <w:p>
            <w:pPr>
              <w:spacing w:after="0"/>
            </w:pPr>
            <w:r>
              <w:rPr>
                <w:rFonts w:ascii="Cambria" w:hAnsi="Cambria" w:eastAsia="Cambria"/>
                <w:b/>
                <w:color w:val="0F4761"/>
                <w:sz w:val="20"/>
              </w:rPr>
              <w:t xml:space="preserve">Central thesis. </w:t>
            </w:r>
            <w:r>
              <w:rPr>
                <w:rFonts w:ascii="Cambria" w:hAnsi="Cambria" w:eastAsia="Cambria"/>
                <w:sz w:val="20"/>
              </w:rPr>
              <w:t>Election demand is predictable in distribution but not reliably conditionally. The strategy therefore prices optimal election under proration rather than attempting to forecast the crowd direction deal by deal.</w:t>
            </w:r>
          </w:p>
        </w:tc>
      </w:tr>
    </w:tbl>
    <w:p>
      <w:pPr>
        <w:spacing w:after="0"/>
      </w:pPr>
    </w:p>
    <w:p>
      <w:pPr>
        <w:pStyle w:val="Heading2"/>
        <w:keepNext/>
      </w:pPr>
      <w:r>
        <w:t>2. Data Pipeline</w:t>
      </w:r>
    </w:p>
    <w:p>
      <w:pPr>
        <w:pStyle w:val="FirstParagraph"/>
        <w:jc w:val="both"/>
      </w:pPr>
      <w:r>
        <w:t>The research universe is intentionally narrow. Most raw Bloomberg M&amp;A records are fixed-mix cash-and-stock deals rather than shareholder elections; many true elections do not disclose realized demand; and some otherwise usable events lack fixed-ratio terms or historical security mappings.</w:t>
      </w:r>
    </w:p>
    <w:tbl>
      <w:tblPr>
        <w:tblW w:type="auto" w:w="0"/>
        <w:jc w:val="center"/>
        <w:tblLayout w:type="fixed"/>
        <w:tblLook w:firstColumn="1" w:firstRow="1" w:lastColumn="0" w:lastRow="0" w:noHBand="0" w:noVBand="1" w:val="04A0"/>
      </w:tblPr>
      <w:tblGrid>
        <w:gridCol w:w="3293"/>
        <w:gridCol w:w="3293"/>
        <w:gridCol w:w="3293"/>
      </w:tblGrid>
      <w:tr>
        <w:trPr>
          <w:tblHeader w:val="true"/>
          <w:tblHeader w:val="true"/>
        </w:trPr>
        <w:tc>
          <w:tcPr>
            <w:tcW w:type="dxa" w:w="1080"/>
            <w:shd w:fill="0F4761"/>
            <w:tcBorders>
              <w:top w:val="single" w:sz="3" w:space="0" w:color="FFFFFF"/>
              <w:left w:val="single" w:sz="3" w:space="0" w:color="FFFFFF"/>
              <w:bottom w:val="single" w:sz="3" w:space="0" w:color="FFFFFF"/>
              <w:right w:val="single" w:sz="3" w:space="0" w:color="FFFFFF"/>
              <w:insideH w:val="single" w:sz="3" w:space="0" w:color="FFFFFF"/>
              <w:insideV w:val="single" w:sz="3" w:space="0" w:color="FFFFFF"/>
            </w:tcBorders>
            <w:tcMar>
              <w:top w:w="70" w:type="dxa"/>
              <w:start w:w="90" w:type="dxa"/>
              <w:bottom w:w="70" w:type="dxa"/>
              <w:end w:w="90" w:type="dxa"/>
            </w:tcMar>
            <w:vAlign w:val="center"/>
          </w:tcPr>
          <w:p>
            <w:pPr>
              <w:spacing w:after="0"/>
              <w:jc w:val="center"/>
            </w:pPr>
            <w:r>
              <w:rPr>
                <w:rFonts w:ascii="Aptos" w:hAnsi="Aptos" w:eastAsia="Aptos"/>
                <w:b/>
                <w:color w:val="FFFFFF"/>
                <w:sz w:val="16"/>
              </w:rPr>
              <w:t>Stage</w:t>
            </w:r>
          </w:p>
        </w:tc>
        <w:tc>
          <w:tcPr>
            <w:tcW w:type="dxa" w:w="7416"/>
            <w:shd w:fill="0F4761"/>
            <w:tcBorders>
              <w:top w:val="single" w:sz="3" w:space="0" w:color="FFFFFF"/>
              <w:left w:val="single" w:sz="3" w:space="0" w:color="FFFFFF"/>
              <w:bottom w:val="single" w:sz="3" w:space="0" w:color="FFFFFF"/>
              <w:right w:val="single" w:sz="3" w:space="0" w:color="FFFFFF"/>
              <w:insideH w:val="single" w:sz="3" w:space="0" w:color="FFFFFF"/>
              <w:insideV w:val="single" w:sz="3" w:space="0" w:color="FFFFFF"/>
            </w:tcBorders>
            <w:tcMar>
              <w:top w:w="70" w:type="dxa"/>
              <w:start w:w="90" w:type="dxa"/>
              <w:bottom w:w="70" w:type="dxa"/>
              <w:end w:w="90" w:type="dxa"/>
            </w:tcMar>
            <w:vAlign w:val="center"/>
          </w:tcPr>
          <w:p>
            <w:pPr>
              <w:spacing w:after="0"/>
              <w:jc w:val="center"/>
            </w:pPr>
            <w:r>
              <w:rPr>
                <w:rFonts w:ascii="Aptos" w:hAnsi="Aptos" w:eastAsia="Aptos"/>
                <w:b/>
                <w:color w:val="FFFFFF"/>
                <w:sz w:val="16"/>
              </w:rPr>
              <w:t>Filter or output</w:t>
            </w:r>
          </w:p>
        </w:tc>
        <w:tc>
          <w:tcPr>
            <w:tcW w:type="dxa" w:w="1008"/>
            <w:shd w:fill="0F4761"/>
            <w:tcBorders>
              <w:top w:val="single" w:sz="3" w:space="0" w:color="FFFFFF"/>
              <w:left w:val="single" w:sz="3" w:space="0" w:color="FFFFFF"/>
              <w:bottom w:val="single" w:sz="3" w:space="0" w:color="FFFFFF"/>
              <w:right w:val="single" w:sz="3" w:space="0" w:color="FFFFFF"/>
              <w:insideH w:val="single" w:sz="3" w:space="0" w:color="FFFFFF"/>
              <w:insideV w:val="single" w:sz="3" w:space="0" w:color="FFFFFF"/>
            </w:tcBorders>
            <w:tcMar>
              <w:top w:w="70" w:type="dxa"/>
              <w:start w:w="90" w:type="dxa"/>
              <w:bottom w:w="70" w:type="dxa"/>
              <w:end w:w="90" w:type="dxa"/>
            </w:tcMar>
            <w:vAlign w:val="center"/>
          </w:tcPr>
          <w:p>
            <w:pPr>
              <w:spacing w:after="0"/>
              <w:jc w:val="center"/>
            </w:pPr>
            <w:r>
              <w:rPr>
                <w:rFonts w:ascii="Aptos" w:hAnsi="Aptos" w:eastAsia="Aptos"/>
                <w:b/>
                <w:color w:val="FFFFFF"/>
                <w:sz w:val="16"/>
              </w:rPr>
              <w:t>Count</w:t>
            </w:r>
          </w:p>
        </w:tc>
      </w:tr>
      <w:tr>
        <w:trPr>
          <w:cantSplit/>
        </w:trPr>
        <w:tc>
          <w:tcPr>
            <w:tcW w:type="dxa" w:w="1080"/>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center"/>
          </w:tcPr>
          <w:p>
            <w:pPr>
              <w:spacing w:after="0"/>
              <w:jc w:val="left"/>
            </w:pPr>
            <w:r>
              <w:rPr>
                <w:rFonts w:ascii="Cambria" w:hAnsi="Cambria" w:eastAsia="Cambria"/>
                <w:sz w:val="16"/>
              </w:rPr>
              <w:t>0</w:t>
            </w:r>
          </w:p>
        </w:tc>
        <w:tc>
          <w:tcPr>
            <w:tcW w:type="dxa" w:w="7416"/>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center"/>
          </w:tcPr>
          <w:p>
            <w:pPr>
              <w:spacing w:after="0"/>
              <w:jc w:val="center"/>
            </w:pPr>
            <w:r>
              <w:rPr>
                <w:rFonts w:ascii="Cambria" w:hAnsi="Cambria" w:eastAsia="Cambria"/>
                <w:sz w:val="16"/>
              </w:rPr>
              <w:t>Raw Bloomberg M&amp;A universe</w:t>
            </w:r>
          </w:p>
        </w:tc>
        <w:tc>
          <w:tcPr>
            <w:tcW w:type="dxa" w:w="1008"/>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center"/>
          </w:tcPr>
          <w:p>
            <w:pPr>
              <w:spacing w:after="0"/>
              <w:jc w:val="center"/>
            </w:pPr>
            <w:r>
              <w:rPr>
                <w:rFonts w:ascii="Cambria" w:hAnsi="Cambria" w:eastAsia="Cambria"/>
                <w:sz w:val="16"/>
              </w:rPr>
              <w:t>2,068</w:t>
            </w:r>
          </w:p>
        </w:tc>
      </w:tr>
      <w:tr>
        <w:trPr>
          <w:cantSplit/>
        </w:trPr>
        <w:tc>
          <w:tcPr>
            <w:tcW w:type="dxa" w:w="1080"/>
            <w:shd w:fill="F2F2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center"/>
          </w:tcPr>
          <w:p>
            <w:pPr>
              <w:spacing w:after="0"/>
              <w:jc w:val="left"/>
            </w:pPr>
            <w:r>
              <w:rPr>
                <w:rFonts w:ascii="Cambria" w:hAnsi="Cambria" w:eastAsia="Cambria"/>
                <w:sz w:val="16"/>
              </w:rPr>
              <w:t>0</w:t>
            </w:r>
          </w:p>
        </w:tc>
        <w:tc>
          <w:tcPr>
            <w:tcW w:type="dxa" w:w="7416"/>
            <w:shd w:fill="F2F2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center"/>
          </w:tcPr>
          <w:p>
            <w:pPr>
              <w:spacing w:after="0"/>
              <w:jc w:val="center"/>
            </w:pPr>
            <w:r>
              <w:rPr>
                <w:rFonts w:ascii="Cambria" w:hAnsi="Cambria" w:eastAsia="Cambria"/>
                <w:sz w:val="16"/>
              </w:rPr>
              <w:t>Reviewed US completed cash-or-stock elections</w:t>
            </w:r>
          </w:p>
        </w:tc>
        <w:tc>
          <w:tcPr>
            <w:tcW w:type="dxa" w:w="1008"/>
            <w:shd w:fill="F2F2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center"/>
          </w:tcPr>
          <w:p>
            <w:pPr>
              <w:spacing w:after="0"/>
              <w:jc w:val="center"/>
            </w:pPr>
            <w:r>
              <w:rPr>
                <w:rFonts w:ascii="Cambria" w:hAnsi="Cambria" w:eastAsia="Cambria"/>
                <w:sz w:val="16"/>
              </w:rPr>
              <w:t>317</w:t>
            </w:r>
          </w:p>
        </w:tc>
      </w:tr>
      <w:tr>
        <w:trPr>
          <w:cantSplit/>
        </w:trPr>
        <w:tc>
          <w:tcPr>
            <w:tcW w:type="dxa" w:w="1080"/>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center"/>
          </w:tcPr>
          <w:p>
            <w:pPr>
              <w:spacing w:after="0"/>
              <w:jc w:val="left"/>
            </w:pPr>
            <w:r>
              <w:rPr>
                <w:rFonts w:ascii="Cambria" w:hAnsi="Cambria" w:eastAsia="Cambria"/>
                <w:sz w:val="16"/>
              </w:rPr>
              <w:t>1</w:t>
            </w:r>
          </w:p>
        </w:tc>
        <w:tc>
          <w:tcPr>
            <w:tcW w:type="dxa" w:w="7416"/>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center"/>
          </w:tcPr>
          <w:p>
            <w:pPr>
              <w:spacing w:after="0"/>
              <w:jc w:val="center"/>
            </w:pPr>
            <w:r>
              <w:rPr>
                <w:rFonts w:ascii="Cambria" w:hAnsi="Cambria" w:eastAsia="Cambria"/>
                <w:sz w:val="16"/>
              </w:rPr>
              <w:t>Terms parsed into the canonical deal table</w:t>
            </w:r>
          </w:p>
        </w:tc>
        <w:tc>
          <w:tcPr>
            <w:tcW w:type="dxa" w:w="1008"/>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center"/>
          </w:tcPr>
          <w:p>
            <w:pPr>
              <w:spacing w:after="0"/>
              <w:jc w:val="center"/>
            </w:pPr>
            <w:r>
              <w:rPr>
                <w:rFonts w:ascii="Cambria" w:hAnsi="Cambria" w:eastAsia="Cambria"/>
                <w:sz w:val="16"/>
              </w:rPr>
              <w:t>293</w:t>
            </w:r>
          </w:p>
        </w:tc>
      </w:tr>
      <w:tr>
        <w:trPr>
          <w:cantSplit/>
        </w:trPr>
        <w:tc>
          <w:tcPr>
            <w:tcW w:type="dxa" w:w="1080"/>
            <w:shd w:fill="F2F2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center"/>
          </w:tcPr>
          <w:p>
            <w:pPr>
              <w:spacing w:after="0"/>
              <w:jc w:val="left"/>
            </w:pPr>
            <w:r>
              <w:rPr>
                <w:rFonts w:ascii="Cambria" w:hAnsi="Cambria" w:eastAsia="Cambria"/>
                <w:sz w:val="16"/>
              </w:rPr>
              <w:t>1</w:t>
            </w:r>
          </w:p>
        </w:tc>
        <w:tc>
          <w:tcPr>
            <w:tcW w:type="dxa" w:w="7416"/>
            <w:shd w:fill="F2F2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center"/>
          </w:tcPr>
          <w:p>
            <w:pPr>
              <w:spacing w:after="0"/>
              <w:jc w:val="center"/>
            </w:pPr>
            <w:r>
              <w:rPr>
                <w:rFonts w:ascii="Cambria" w:hAnsi="Cambria" w:eastAsia="Cambria"/>
                <w:sz w:val="16"/>
              </w:rPr>
              <w:t>Full structural terms available</w:t>
            </w:r>
          </w:p>
        </w:tc>
        <w:tc>
          <w:tcPr>
            <w:tcW w:type="dxa" w:w="1008"/>
            <w:shd w:fill="F2F2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center"/>
          </w:tcPr>
          <w:p>
            <w:pPr>
              <w:spacing w:after="0"/>
              <w:jc w:val="center"/>
            </w:pPr>
            <w:r>
              <w:rPr>
                <w:rFonts w:ascii="Cambria" w:hAnsi="Cambria" w:eastAsia="Cambria"/>
                <w:sz w:val="16"/>
              </w:rPr>
              <w:t>102</w:t>
            </w:r>
          </w:p>
        </w:tc>
      </w:tr>
      <w:tr>
        <w:trPr>
          <w:cantSplit/>
        </w:trPr>
        <w:tc>
          <w:tcPr>
            <w:tcW w:type="dxa" w:w="1080"/>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center"/>
          </w:tcPr>
          <w:p>
            <w:pPr>
              <w:spacing w:after="0"/>
              <w:jc w:val="left"/>
            </w:pPr>
            <w:r>
              <w:rPr>
                <w:rFonts w:ascii="Cambria" w:hAnsi="Cambria" w:eastAsia="Cambria"/>
                <w:sz w:val="16"/>
              </w:rPr>
              <w:t>2</w:t>
            </w:r>
          </w:p>
        </w:tc>
        <w:tc>
          <w:tcPr>
            <w:tcW w:type="dxa" w:w="7416"/>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center"/>
          </w:tcPr>
          <w:p>
            <w:pPr>
              <w:spacing w:after="0"/>
              <w:jc w:val="center"/>
            </w:pPr>
            <w:r>
              <w:rPr>
                <w:rFonts w:ascii="Cambria" w:hAnsi="Cambria" w:eastAsia="Cambria"/>
                <w:sz w:val="16"/>
              </w:rPr>
              <w:t>Disclosed realized election demand</w:t>
            </w:r>
          </w:p>
        </w:tc>
        <w:tc>
          <w:tcPr>
            <w:tcW w:type="dxa" w:w="1008"/>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center"/>
          </w:tcPr>
          <w:p>
            <w:pPr>
              <w:spacing w:after="0"/>
              <w:jc w:val="center"/>
            </w:pPr>
            <w:r>
              <w:rPr>
                <w:rFonts w:ascii="Cambria" w:hAnsi="Cambria" w:eastAsia="Cambria"/>
                <w:sz w:val="16"/>
              </w:rPr>
              <w:t>73</w:t>
            </w:r>
          </w:p>
        </w:tc>
      </w:tr>
      <w:tr>
        <w:trPr>
          <w:cantSplit/>
        </w:trPr>
        <w:tc>
          <w:tcPr>
            <w:tcW w:type="dxa" w:w="1080"/>
            <w:shd w:fill="F2F2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center"/>
          </w:tcPr>
          <w:p>
            <w:pPr>
              <w:spacing w:after="0"/>
              <w:jc w:val="left"/>
            </w:pPr>
            <w:r>
              <w:rPr>
                <w:rFonts w:ascii="Cambria" w:hAnsi="Cambria" w:eastAsia="Cambria"/>
                <w:sz w:val="16"/>
              </w:rPr>
              <w:t>2–3</w:t>
            </w:r>
          </w:p>
        </w:tc>
        <w:tc>
          <w:tcPr>
            <w:tcW w:type="dxa" w:w="7416"/>
            <w:shd w:fill="F2F2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center"/>
          </w:tcPr>
          <w:p>
            <w:pPr>
              <w:spacing w:after="0"/>
              <w:jc w:val="center"/>
            </w:pPr>
            <w:r>
              <w:rPr>
                <w:rFonts w:ascii="Cambria" w:hAnsi="Cambria" w:eastAsia="Cambria"/>
                <w:sz w:val="16"/>
              </w:rPr>
              <w:t>Fixed-ratio, Monte Carlo-ready deals</w:t>
            </w:r>
          </w:p>
        </w:tc>
        <w:tc>
          <w:tcPr>
            <w:tcW w:type="dxa" w:w="1008"/>
            <w:shd w:fill="F2F2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center"/>
          </w:tcPr>
          <w:p>
            <w:pPr>
              <w:spacing w:after="0"/>
              <w:jc w:val="center"/>
            </w:pPr>
            <w:r>
              <w:rPr>
                <w:rFonts w:ascii="Cambria" w:hAnsi="Cambria" w:eastAsia="Cambria"/>
                <w:sz w:val="16"/>
              </w:rPr>
              <w:t>32</w:t>
            </w:r>
          </w:p>
        </w:tc>
      </w:tr>
      <w:tr>
        <w:trPr>
          <w:cantSplit/>
        </w:trPr>
        <w:tc>
          <w:tcPr>
            <w:tcW w:type="dxa" w:w="1080"/>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center"/>
          </w:tcPr>
          <w:p>
            <w:pPr>
              <w:spacing w:after="0"/>
              <w:jc w:val="left"/>
            </w:pPr>
            <w:r>
              <w:rPr>
                <w:rFonts w:ascii="Cambria" w:hAnsi="Cambria" w:eastAsia="Cambria"/>
                <w:sz w:val="16"/>
              </w:rPr>
              <w:t>3</w:t>
            </w:r>
          </w:p>
        </w:tc>
        <w:tc>
          <w:tcPr>
            <w:tcW w:type="dxa" w:w="7416"/>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center"/>
          </w:tcPr>
          <w:p>
            <w:pPr>
              <w:spacing w:after="0"/>
              <w:jc w:val="center"/>
            </w:pPr>
            <w:r>
              <w:rPr>
                <w:rFonts w:ascii="Cambria" w:hAnsi="Cambria" w:eastAsia="Cambria"/>
                <w:sz w:val="16"/>
              </w:rPr>
              <w:t>Clean realized-edge event study</w:t>
            </w:r>
          </w:p>
        </w:tc>
        <w:tc>
          <w:tcPr>
            <w:tcW w:type="dxa" w:w="1008"/>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center"/>
          </w:tcPr>
          <w:p>
            <w:pPr>
              <w:spacing w:after="0"/>
              <w:jc w:val="center"/>
            </w:pPr>
            <w:r>
              <w:rPr>
                <w:rFonts w:ascii="Cambria" w:hAnsi="Cambria" w:eastAsia="Cambria"/>
                <w:sz w:val="16"/>
              </w:rPr>
              <w:t>28</w:t>
            </w:r>
          </w:p>
        </w:tc>
      </w:tr>
      <w:tr>
        <w:trPr>
          <w:cantSplit/>
        </w:trPr>
        <w:tc>
          <w:tcPr>
            <w:tcW w:type="dxa" w:w="1080"/>
            <w:shd w:fill="F2F2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center"/>
          </w:tcPr>
          <w:p>
            <w:pPr>
              <w:spacing w:after="0"/>
              <w:jc w:val="left"/>
            </w:pPr>
            <w:r>
              <w:rPr>
                <w:rFonts w:ascii="Cambria" w:hAnsi="Cambria" w:eastAsia="Cambria"/>
                <w:sz w:val="16"/>
              </w:rPr>
              <w:t>4–6</w:t>
            </w:r>
          </w:p>
        </w:tc>
        <w:tc>
          <w:tcPr>
            <w:tcW w:type="dxa" w:w="7416"/>
            <w:shd w:fill="F2F2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center"/>
          </w:tcPr>
          <w:p>
            <w:pPr>
              <w:spacing w:after="0"/>
              <w:jc w:val="center"/>
            </w:pPr>
            <w:r>
              <w:rPr>
                <w:rFonts w:ascii="Cambria" w:hAnsi="Cambria" w:eastAsia="Cambria"/>
                <w:sz w:val="16"/>
              </w:rPr>
              <w:t>Priced trade signals</w:t>
            </w:r>
          </w:p>
        </w:tc>
        <w:tc>
          <w:tcPr>
            <w:tcW w:type="dxa" w:w="1008"/>
            <w:shd w:fill="F2F2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center"/>
          </w:tcPr>
          <w:p>
            <w:pPr>
              <w:spacing w:after="0"/>
              <w:jc w:val="center"/>
            </w:pPr>
            <w:r>
              <w:rPr>
                <w:rFonts w:ascii="Cambria" w:hAnsi="Cambria" w:eastAsia="Cambria"/>
                <w:sz w:val="16"/>
              </w:rPr>
              <w:t>88</w:t>
            </w:r>
          </w:p>
        </w:tc>
      </w:tr>
      <w:tr>
        <w:trPr>
          <w:cantSplit/>
        </w:trPr>
        <w:tc>
          <w:tcPr>
            <w:tcW w:type="dxa" w:w="1080"/>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center"/>
          </w:tcPr>
          <w:p>
            <w:pPr>
              <w:spacing w:after="0"/>
              <w:jc w:val="left"/>
            </w:pPr>
            <w:r>
              <w:rPr>
                <w:rFonts w:ascii="Cambria" w:hAnsi="Cambria" w:eastAsia="Cambria"/>
                <w:sz w:val="16"/>
              </w:rPr>
              <w:t>6–8</w:t>
            </w:r>
          </w:p>
        </w:tc>
        <w:tc>
          <w:tcPr>
            <w:tcW w:type="dxa" w:w="7416"/>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center"/>
          </w:tcPr>
          <w:p>
            <w:pPr>
              <w:spacing w:after="0"/>
              <w:jc w:val="center"/>
            </w:pPr>
            <w:r>
              <w:rPr>
                <w:rFonts w:ascii="Cambria" w:hAnsi="Cambria" w:eastAsia="Cambria"/>
                <w:sz w:val="16"/>
              </w:rPr>
              <w:t>Selected and capacity-sized trades</w:t>
            </w:r>
          </w:p>
        </w:tc>
        <w:tc>
          <w:tcPr>
            <w:tcW w:type="dxa" w:w="1008"/>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center"/>
          </w:tcPr>
          <w:p>
            <w:pPr>
              <w:spacing w:after="0"/>
              <w:jc w:val="center"/>
            </w:pPr>
            <w:r>
              <w:rPr>
                <w:rFonts w:ascii="Cambria" w:hAnsi="Cambria" w:eastAsia="Cambria"/>
                <w:sz w:val="16"/>
              </w:rPr>
              <w:t>20</w:t>
            </w:r>
          </w:p>
        </w:tc>
      </w:tr>
      <w:tr>
        <w:trPr>
          <w:cantSplit/>
        </w:trPr>
        <w:tc>
          <w:tcPr>
            <w:tcW w:type="dxa" w:w="1080"/>
            <w:shd w:fill="F2F2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center"/>
          </w:tcPr>
          <w:p>
            <w:pPr>
              <w:spacing w:after="0"/>
              <w:jc w:val="left"/>
            </w:pPr>
            <w:r>
              <w:rPr>
                <w:rFonts w:ascii="Cambria" w:hAnsi="Cambria" w:eastAsia="Cambria"/>
                <w:sz w:val="16"/>
              </w:rPr>
              <w:t>9</w:t>
            </w:r>
          </w:p>
        </w:tc>
        <w:tc>
          <w:tcPr>
            <w:tcW w:type="dxa" w:w="7416"/>
            <w:shd w:fill="F2F2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center"/>
          </w:tcPr>
          <w:p>
            <w:pPr>
              <w:spacing w:after="0"/>
              <w:jc w:val="center"/>
            </w:pPr>
            <w:r>
              <w:rPr>
                <w:rFonts w:ascii="Cambria" w:hAnsi="Cambria" w:eastAsia="Cambria"/>
                <w:sz w:val="16"/>
              </w:rPr>
              <w:t>Direct realized-payoff validation</w:t>
            </w:r>
          </w:p>
        </w:tc>
        <w:tc>
          <w:tcPr>
            <w:tcW w:type="dxa" w:w="1008"/>
            <w:shd w:fill="F2F2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center"/>
          </w:tcPr>
          <w:p>
            <w:pPr>
              <w:spacing w:after="0"/>
              <w:jc w:val="center"/>
            </w:pPr>
            <w:r>
              <w:rPr>
                <w:rFonts w:ascii="Cambria" w:hAnsi="Cambria" w:eastAsia="Cambria"/>
                <w:sz w:val="16"/>
              </w:rPr>
              <w:t>16</w:t>
            </w:r>
          </w:p>
        </w:tc>
      </w:tr>
      <w:tr>
        <w:trPr>
          <w:cantSplit/>
        </w:trPr>
        <w:tc>
          <w:tcPr>
            <w:tcW w:type="dxa" w:w="1080"/>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center"/>
          </w:tcPr>
          <w:p>
            <w:pPr>
              <w:spacing w:after="0"/>
              <w:jc w:val="left"/>
            </w:pPr>
            <w:r>
              <w:rPr>
                <w:rFonts w:ascii="Cambria" w:hAnsi="Cambria" w:eastAsia="Cambria"/>
                <w:sz w:val="16"/>
              </w:rPr>
              <w:t>10</w:t>
            </w:r>
          </w:p>
        </w:tc>
        <w:tc>
          <w:tcPr>
            <w:tcW w:type="dxa" w:w="7416"/>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center"/>
          </w:tcPr>
          <w:p>
            <w:pPr>
              <w:spacing w:after="0"/>
              <w:jc w:val="center"/>
            </w:pPr>
            <w:r>
              <w:rPr>
                <w:rFonts w:ascii="Cambria" w:hAnsi="Cambria" w:eastAsia="Cambria"/>
                <w:sz w:val="16"/>
              </w:rPr>
              <w:t>Reconstructed daily price paths</w:t>
            </w:r>
          </w:p>
        </w:tc>
        <w:tc>
          <w:tcPr>
            <w:tcW w:type="dxa" w:w="1008"/>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center"/>
          </w:tcPr>
          <w:p>
            <w:pPr>
              <w:spacing w:after="0"/>
              <w:jc w:val="center"/>
            </w:pPr>
            <w:r>
              <w:rPr>
                <w:rFonts w:ascii="Cambria" w:hAnsi="Cambria" w:eastAsia="Cambria"/>
                <w:sz w:val="16"/>
              </w:rPr>
              <w:t>18</w:t>
            </w:r>
          </w:p>
        </w:tc>
      </w:tr>
    </w:tbl>
    <w:p>
      <w:pPr>
        <w:spacing w:after="0"/>
      </w:pPr>
    </w:p>
    <w:p>
      <w:pPr>
        <w:pStyle w:val="Compact"/>
        <w:jc w:val="both"/>
      </w:pPr>
      <w:r>
        <w:t>The final two rows are parallel validation subsets, not a single sequential funnel. Settlement validation requires enough terminal deal information to reconstruct the realized payoff. Daily-path validation instead requires common target and acquirer price history; fourteen paths reconcile to observed settlement and four retain an explicit market-to-deadline fallback.</w:t>
      </w:r>
    </w:p>
    <w:p>
      <w:pPr>
        <w:pStyle w:val="BodyText"/>
        <w:jc w:val="both"/>
      </w:pPr>
      <w:r>
        <w:rPr>
          <w:b/>
        </w:rPr>
        <w:t xml:space="preserve">Sources and controls. </w:t>
      </w:r>
      <w:r>
        <w:t>Bloomberg supplies the all-status deal universe and terms; SEC EDGAR filings supply contractual election mechanics and post-deadline disclosures; CRSP via WRDS supplies prices, volume, and identifier history. CIK/CUSIP/PERMNO audits, manual overrides, and a term-consistency guard prevent current-name back-stamping or malformed exchange terms from entering the strategy.</w:t>
      </w:r>
    </w:p>
    <w:p>
      <w:r>
        <w:br w:type="page"/>
      </w:r>
    </w:p>
    <w:p>
      <w:pPr>
        <w:pStyle w:val="Heading2"/>
        <w:keepNext/>
      </w:pPr>
      <w:r>
        <w:t>3. Methodology: Demand, Proration, and Risk</w:t>
      </w:r>
    </w:p>
    <w:p>
      <w:pPr>
        <w:pStyle w:val="Heading3"/>
        <w:keepNext/>
      </w:pPr>
      <w:r>
        <w:t>3.1 Election-Demand Distribution</w:t>
      </w:r>
    </w:p>
    <w:p>
      <w:pPr>
        <w:pStyle w:val="FirstParagraph"/>
        <w:jc w:val="both"/>
      </w:pPr>
      <w:r>
        <w:t>The 73 realized demand observations are U-shaped: shareholders often concentrate near one election extreme. A Beta distribution with both shape parameters below one captures this behavior. Method-of-moments estimation produces Beta(0.59, 0.793), with mean cash demand of approximately 42.7%. Method of moments is closed-form and deterministic inside the leave-one-out loop, while maximum likelihood offers little practical gain at this sample size.</w:t>
      </w:r>
    </w:p>
    <w:p>
      <w:pPr>
        <w:pStyle w:val="BodyText"/>
        <w:jc w:val="both"/>
      </w:pPr>
      <w:r>
        <w:t>The model is pooled rather than sector-conditioned. The labeled sample is small-cap and financials-heavy but fragmented across sectors, so estimating separate conditional distributions would increase variance sharply. The deadline spread also has little explanatory power for demand: the estimated logit slope is close to zero.</w:t>
      </w:r>
    </w:p>
    <w:p>
      <w:pPr>
        <w:pStyle w:val="Heading3"/>
        <w:keepNext/>
      </w:pPr>
      <w:r>
        <w:t>3.2 Out-of-Sample Calibration</w:t>
      </w:r>
    </w:p>
    <w:p>
      <w:pPr>
        <w:pStyle w:val="BodyText"/>
        <w:jc w:val="both"/>
      </w:pPr>
      <w:r>
        <w:t>A leave-one-out probability-integral-transform test refits the Beta on 72 events and evaluates the held-out event under that distribution. The PIT mean is 0.498, 79.5% of observations fall in the central 80% band, and the Kolmogorov-Smirnov test does not reject uniformity (p = 0.959). This supports using the pooled distribution to price an unseen deal.</w:t>
      </w:r>
    </w:p>
    <w:p>
      <w:pPr>
        <w:pStyle w:val="Heading3"/>
        <w:keepNext/>
      </w:pPr>
      <w:r>
        <w:t>3.3 Proration Monte Carlo</w:t>
      </w:r>
    </w:p>
    <w:p>
      <w:pPr>
        <w:pStyle w:val="BodyText"/>
        <w:jc w:val="both"/>
      </w:pPr>
      <w:r>
        <w:t>For each fixed-ratio deal, the engine draws 20,000 values of f_cash from the calibrated distribution and sends each draw through the contractual proration formula. The completed-state output includes expected consideration, fifth-percentile return (p05), conditional value at risk (CVaR), and loss probability. The mean completed-state edge across the 32 MC-ready deals is 7.70%. After adding terminated and withdrawn payoff states, the mean risk-adjusted edge is 1.94% and the portfolio p05 is -2.62%.</w:t>
      </w:r>
    </w:p>
    <w:p>
      <w:pPr>
        <w:pStyle w:val="BodyText"/>
        <w:jc w:val="both"/>
      </w:pPr>
      <w:r>
        <w:t>The Monte Carlo holds the acquirer price at the election deadline. It models election-demand and deal-outcome risk, while the trade layer uses an acquirer hedge for market exposure. Residual basis risk is assessed later through the reconstructed daily target/acquirer P&amp;L.</w:t>
      </w:r>
    </w:p>
    <w:p>
      <w:pPr>
        <w:pStyle w:val="Heading3"/>
        <w:keepNext/>
      </w:pPr>
      <w:r>
        <w:t>3.4 Risk-Aware Trade Construction</w:t>
      </w:r>
    </w:p>
    <w:p>
      <w:pPr>
        <w:pStyle w:val="Compact"/>
        <w:ind w:left="317" w:hanging="202"/>
      </w:pPr>
      <w:r>
        <w:rPr>
          <w:b/>
        </w:rPr>
        <w:t xml:space="preserve">• </w:t>
      </w:r>
      <w:r>
        <w:t>ENTER: buy the target, elect the richer side, and short the acquirer according to the expected stock-delivery hedge ratio.</w:t>
      </w:r>
    </w:p>
    <w:p>
      <w:pPr>
        <w:pStyle w:val="Compact"/>
        <w:ind w:left="317" w:hanging="202"/>
      </w:pPr>
      <w:r>
        <w:rPr>
          <w:b/>
        </w:rPr>
        <w:t xml:space="preserve">• </w:t>
      </w:r>
      <w:r>
        <w:t>REVERSE: short the target, hold the acquirer hedge leg, and settle the target liability at the passive blended value; the short seller has no election right.</w:t>
      </w:r>
    </w:p>
    <w:p>
      <w:pPr>
        <w:pStyle w:val="Compact"/>
        <w:ind w:left="317" w:hanging="202"/>
      </w:pPr>
      <w:r>
        <w:rPr>
          <w:b/>
        </w:rPr>
        <w:t xml:space="preserve">• </w:t>
      </w:r>
      <w:r>
        <w:t>REVIEW: withhold an automated decision when terms, identifiers, prices, or implied option values are too extreme to trust.</w:t>
      </w:r>
    </w:p>
    <w:p>
      <w:pPr>
        <w:pStyle w:val="Compact"/>
        <w:ind w:left="317" w:hanging="202"/>
      </w:pPr>
      <w:r>
        <w:rPr>
          <w:b/>
        </w:rPr>
        <w:t xml:space="preserve">• </w:t>
      </w:r>
      <w:r>
        <w:t>PASS-family: reject trades that fail the expected-return hurdle, p05 floor, or loss-probability ceiling.</w:t>
      </w:r>
    </w:p>
    <w:p>
      <w:r>
        <w:br w:type="page"/>
      </w:r>
    </w:p>
    <w:p>
      <w:pPr>
        <w:pStyle w:val="Heading2"/>
        <w:keepNext/>
      </w:pPr>
      <w:r>
        <w:t>4. Stage 4 — Deal-Outcome Naive Bayes</w:t>
      </w:r>
    </w:p>
    <w:p>
      <w:pPr>
        <w:pStyle w:val="FirstParagraph"/>
        <w:jc w:val="both"/>
      </w:pPr>
      <w:r>
        <w:t>Stage 4 replaces the assumption of certain completion with event-level probabilities for completed, terminated, and withdrawn outcomes. The model is trained on the all-status Bloomberg universe; the 293-event downstream application frame contains completed events only and is not used to claim three-class performance.</w:t>
      </w:r>
    </w:p>
    <w:tbl>
      <w:tblPr>
        <w:tblW w:type="auto" w:w="0"/>
        <w:jc w:val="center"/>
        <w:tblLayout w:type="fixed"/>
        <w:tblLook w:firstColumn="1" w:firstRow="1" w:lastColumn="0" w:lastRow="0" w:noHBand="0" w:noVBand="1" w:val="04A0"/>
      </w:tblPr>
      <w:tblGrid>
        <w:gridCol w:w="4939"/>
        <w:gridCol w:w="4939"/>
      </w:tblGrid>
      <w:tr>
        <w:trPr>
          <w:tblHeader w:val="true"/>
          <w:tblHeader w:val="true"/>
        </w:trPr>
        <w:tc>
          <w:tcPr>
            <w:tcW w:type="dxa" w:w="2232"/>
            <w:shd w:fill="0F4761"/>
            <w:tcBorders>
              <w:top w:val="single" w:sz="3" w:space="0" w:color="FFFFFF"/>
              <w:left w:val="single" w:sz="3" w:space="0" w:color="FFFFFF"/>
              <w:bottom w:val="single" w:sz="3" w:space="0" w:color="FFFFFF"/>
              <w:right w:val="single" w:sz="3" w:space="0" w:color="FFFFFF"/>
              <w:insideH w:val="single" w:sz="3" w:space="0" w:color="FFFFFF"/>
              <w:insideV w:val="single" w:sz="3" w:space="0" w:color="FFFFFF"/>
            </w:tcBorders>
            <w:tcMar>
              <w:top w:w="70" w:type="dxa"/>
              <w:start w:w="90" w:type="dxa"/>
              <w:bottom w:w="70" w:type="dxa"/>
              <w:end w:w="90" w:type="dxa"/>
            </w:tcMar>
            <w:vAlign w:val="center"/>
          </w:tcPr>
          <w:p>
            <w:pPr>
              <w:spacing w:after="0"/>
              <w:jc w:val="center"/>
            </w:pPr>
            <w:r>
              <w:rPr>
                <w:rFonts w:ascii="Aptos" w:hAnsi="Aptos" w:eastAsia="Aptos"/>
                <w:b/>
                <w:color w:val="FFFFFF"/>
                <w:sz w:val="16"/>
              </w:rPr>
              <w:t>Model component</w:t>
            </w:r>
          </w:p>
        </w:tc>
        <w:tc>
          <w:tcPr>
            <w:tcW w:type="dxa" w:w="7344"/>
            <w:shd w:fill="0F4761"/>
            <w:tcBorders>
              <w:top w:val="single" w:sz="3" w:space="0" w:color="FFFFFF"/>
              <w:left w:val="single" w:sz="3" w:space="0" w:color="FFFFFF"/>
              <w:bottom w:val="single" w:sz="3" w:space="0" w:color="FFFFFF"/>
              <w:right w:val="single" w:sz="3" w:space="0" w:color="FFFFFF"/>
              <w:insideH w:val="single" w:sz="3" w:space="0" w:color="FFFFFF"/>
              <w:insideV w:val="single" w:sz="3" w:space="0" w:color="FFFFFF"/>
            </w:tcBorders>
            <w:tcMar>
              <w:top w:w="70" w:type="dxa"/>
              <w:start w:w="90" w:type="dxa"/>
              <w:bottom w:w="70" w:type="dxa"/>
              <w:end w:w="90" w:type="dxa"/>
            </w:tcMar>
            <w:vAlign w:val="center"/>
          </w:tcPr>
          <w:p>
            <w:pPr>
              <w:spacing w:after="0"/>
              <w:jc w:val="center"/>
            </w:pPr>
            <w:r>
              <w:rPr>
                <w:rFonts w:ascii="Aptos" w:hAnsi="Aptos" w:eastAsia="Aptos"/>
                <w:b/>
                <w:color w:val="FFFFFF"/>
                <w:sz w:val="16"/>
              </w:rPr>
              <w:t>Current specification</w:t>
            </w:r>
          </w:p>
        </w:tc>
      </w:tr>
      <w:tr>
        <w:trPr>
          <w:cantSplit/>
        </w:trPr>
        <w:tc>
          <w:tcPr>
            <w:tcW w:type="dxa" w:w="2232"/>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center"/>
          </w:tcPr>
          <w:p>
            <w:pPr>
              <w:spacing w:after="0"/>
              <w:jc w:val="left"/>
            </w:pPr>
            <w:r>
              <w:rPr>
                <w:rFonts w:ascii="Cambria" w:hAnsi="Cambria" w:eastAsia="Cambria"/>
                <w:sz w:val="16"/>
              </w:rPr>
              <w:t>Training labels</w:t>
            </w:r>
          </w:p>
        </w:tc>
        <w:tc>
          <w:tcPr>
            <w:tcW w:type="dxa" w:w="7344"/>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center"/>
          </w:tcPr>
          <w:p>
            <w:pPr>
              <w:spacing w:after="0"/>
              <w:jc w:val="left"/>
            </w:pPr>
            <w:r>
              <w:rPr>
                <w:rFonts w:ascii="Cambria" w:hAnsi="Cambria" w:eastAsia="Cambria"/>
                <w:sz w:val="16"/>
              </w:rPr>
              <w:t>1,997 events: 1,648 completed, 258 terminated, 91 withdrawn</w:t>
            </w:r>
          </w:p>
        </w:tc>
      </w:tr>
      <w:tr>
        <w:trPr>
          <w:cantSplit/>
        </w:trPr>
        <w:tc>
          <w:tcPr>
            <w:tcW w:type="dxa" w:w="2232"/>
            <w:shd w:fill="F2F2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center"/>
          </w:tcPr>
          <w:p>
            <w:pPr>
              <w:spacing w:after="0"/>
              <w:jc w:val="left"/>
            </w:pPr>
            <w:r>
              <w:rPr>
                <w:rFonts w:ascii="Cambria" w:hAnsi="Cambria" w:eastAsia="Cambria"/>
                <w:sz w:val="16"/>
              </w:rPr>
              <w:t>Smoothed prior</w:t>
            </w:r>
          </w:p>
        </w:tc>
        <w:tc>
          <w:tcPr>
            <w:tcW w:type="dxa" w:w="7344"/>
            <w:shd w:fill="F2F2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center"/>
          </w:tcPr>
          <w:p>
            <w:pPr>
              <w:spacing w:after="0"/>
              <w:jc w:val="left"/>
            </w:pPr>
            <w:r>
              <w:rPr>
                <w:rFonts w:ascii="Cambria" w:hAnsi="Cambria" w:eastAsia="Cambria"/>
                <w:sz w:val="16"/>
              </w:rPr>
              <w:t>82.59% completed, 12.85% terminated, 4.56% withdrawn</w:t>
            </w:r>
          </w:p>
        </w:tc>
      </w:tr>
      <w:tr>
        <w:trPr>
          <w:cantSplit/>
        </w:trPr>
        <w:tc>
          <w:tcPr>
            <w:tcW w:type="dxa" w:w="2232"/>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center"/>
          </w:tcPr>
          <w:p>
            <w:pPr>
              <w:spacing w:after="0"/>
              <w:jc w:val="left"/>
            </w:pPr>
            <w:r>
              <w:rPr>
                <w:rFonts w:ascii="Cambria" w:hAnsi="Cambria" w:eastAsia="Cambria"/>
                <w:sz w:val="16"/>
              </w:rPr>
              <w:t>Numeric inputs</w:t>
            </w:r>
          </w:p>
        </w:tc>
        <w:tc>
          <w:tcPr>
            <w:tcW w:type="dxa" w:w="7344"/>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center"/>
          </w:tcPr>
          <w:p>
            <w:pPr>
              <w:spacing w:after="0"/>
              <w:jc w:val="left"/>
            </w:pPr>
            <w:r>
              <w:rPr>
                <w:rFonts w:ascii="Cambria" w:hAnsi="Cambria" w:eastAsia="Cambria"/>
                <w:sz w:val="16"/>
              </w:rPr>
              <w:t>log announced value, TV/EBITDA, announcement year</w:t>
            </w:r>
          </w:p>
        </w:tc>
      </w:tr>
      <w:tr>
        <w:trPr>
          <w:cantSplit/>
        </w:trPr>
        <w:tc>
          <w:tcPr>
            <w:tcW w:type="dxa" w:w="2232"/>
            <w:shd w:fill="F2F2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center"/>
          </w:tcPr>
          <w:p>
            <w:pPr>
              <w:spacing w:after="0"/>
              <w:jc w:val="left"/>
            </w:pPr>
            <w:r>
              <w:rPr>
                <w:rFonts w:ascii="Cambria" w:hAnsi="Cambria" w:eastAsia="Cambria"/>
                <w:sz w:val="16"/>
              </w:rPr>
              <w:t>Categorical inputs</w:t>
            </w:r>
          </w:p>
        </w:tc>
        <w:tc>
          <w:tcPr>
            <w:tcW w:type="dxa" w:w="7344"/>
            <w:shd w:fill="F2F2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center"/>
          </w:tcPr>
          <w:p>
            <w:pPr>
              <w:spacing w:after="0"/>
              <w:jc w:val="left"/>
            </w:pPr>
            <w:r>
              <w:rPr>
                <w:rFonts w:ascii="Cambria" w:hAnsi="Cambria" w:eastAsia="Cambria"/>
                <w:sz w:val="16"/>
              </w:rPr>
              <w:t>deal type, payment type, target/acquirer market suffix, target/acquirer CUSIP presence</w:t>
            </w:r>
          </w:p>
        </w:tc>
      </w:tr>
      <w:tr>
        <w:trPr>
          <w:cantSplit/>
        </w:trPr>
        <w:tc>
          <w:tcPr>
            <w:tcW w:type="dxa" w:w="2232"/>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center"/>
          </w:tcPr>
          <w:p>
            <w:pPr>
              <w:spacing w:after="0"/>
              <w:jc w:val="left"/>
            </w:pPr>
            <w:r>
              <w:rPr>
                <w:rFonts w:ascii="Cambria" w:hAnsi="Cambria" w:eastAsia="Cambria"/>
                <w:sz w:val="16"/>
              </w:rPr>
              <w:t>Selected tuning</w:t>
            </w:r>
          </w:p>
        </w:tc>
        <w:tc>
          <w:tcPr>
            <w:tcW w:type="dxa" w:w="7344"/>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center"/>
          </w:tcPr>
          <w:p>
            <w:pPr>
              <w:spacing w:after="0"/>
              <w:jc w:val="left"/>
            </w:pPr>
            <w:r>
              <w:rPr>
                <w:rFonts w:ascii="Cambria" w:hAnsi="Cambria" w:eastAsia="Cambria"/>
                <w:sz w:val="16"/>
              </w:rPr>
              <w:t>alpha 0.5; prior strength 25; variance shrinkage 0.5; likelihood weight 1.0; prior blend 0.75</w:t>
            </w:r>
          </w:p>
        </w:tc>
      </w:tr>
      <w:tr>
        <w:trPr>
          <w:cantSplit/>
        </w:trPr>
        <w:tc>
          <w:tcPr>
            <w:tcW w:type="dxa" w:w="2232"/>
            <w:shd w:fill="F2F2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center"/>
          </w:tcPr>
          <w:p>
            <w:pPr>
              <w:spacing w:after="0"/>
              <w:jc w:val="left"/>
            </w:pPr>
            <w:r>
              <w:rPr>
                <w:rFonts w:ascii="Cambria" w:hAnsi="Cambria" w:eastAsia="Cambria"/>
                <w:sz w:val="16"/>
              </w:rPr>
              <w:t>Decision tuning</w:t>
            </w:r>
          </w:p>
        </w:tc>
        <w:tc>
          <w:tcPr>
            <w:tcW w:type="dxa" w:w="7344"/>
            <w:shd w:fill="F2F2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center"/>
          </w:tcPr>
          <w:p>
            <w:pPr>
              <w:spacing w:after="0"/>
              <w:jc w:val="left"/>
            </w:pPr>
            <w:r>
              <w:rPr>
                <w:rFonts w:ascii="Cambria" w:hAnsi="Cambria" w:eastAsia="Cambria"/>
                <w:sz w:val="16"/>
              </w:rPr>
              <w:t>prior-adjustment power 0.5, selected by earlier-year macro-F1</w:t>
            </w:r>
          </w:p>
        </w:tc>
      </w:tr>
      <w:tr>
        <w:trPr>
          <w:cantSplit/>
        </w:trPr>
        <w:tc>
          <w:tcPr>
            <w:tcW w:type="dxa" w:w="2232"/>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center"/>
          </w:tcPr>
          <w:p>
            <w:pPr>
              <w:spacing w:after="0"/>
              <w:jc w:val="left"/>
            </w:pPr>
            <w:r>
              <w:rPr>
                <w:rFonts w:ascii="Cambria" w:hAnsi="Cambria" w:eastAsia="Cambria"/>
                <w:sz w:val="16"/>
              </w:rPr>
              <w:t>Evaluation</w:t>
            </w:r>
          </w:p>
        </w:tc>
        <w:tc>
          <w:tcPr>
            <w:tcW w:type="dxa" w:w="7344"/>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center"/>
          </w:tcPr>
          <w:p>
            <w:pPr>
              <w:spacing w:after="0"/>
              <w:jc w:val="left"/>
            </w:pPr>
            <w:r>
              <w:rPr>
                <w:rFonts w:ascii="Cambria" w:hAnsi="Cambria" w:eastAsia="Cambria"/>
                <w:sz w:val="16"/>
              </w:rPr>
              <w:t>nested expanding-year tests; 812 observations from 2016–2026</w:t>
            </w:r>
          </w:p>
        </w:tc>
      </w:tr>
    </w:tbl>
    <w:p>
      <w:pPr>
        <w:spacing w:after="0"/>
      </w:pPr>
    </w:p>
    <w:p>
      <w:pPr>
        <w:pStyle w:val="Heading3"/>
        <w:keepNext/>
      </w:pPr>
      <w:r>
        <w:t>How the model works</w:t>
      </w:r>
    </w:p>
    <w:p>
      <w:pPr>
        <w:pStyle w:val="BodyText"/>
        <w:jc w:val="both"/>
      </w:pPr>
      <w:r>
        <w:t>The empirical class frequencies are shrunk toward explicit default probabilities to form the prior. Numeric inputs contribute class-conditional Gaussian likelihoods with variance shrinkage; categorical inputs contribute Laplace-smoothed frequency likelihoods. The product of these likelihoods updates the prior, after which 75% prior blending keeps posterior probabilities from becoming overconfident on sparse feature combinations. For hard-class diagnostics only, probabilities are divided by the training prior raised to the selected power, reducing the tendency to predict every observation as completed.</w:t>
      </w:r>
    </w:p>
    <w:tbl>
      <w:tblPr>
        <w:tblW w:type="auto" w:w="0"/>
        <w:jc w:val="center"/>
        <w:tblLayout w:type="fixed"/>
        <w:tblLook w:firstColumn="1" w:firstRow="1" w:lastColumn="0" w:lastRow="0" w:noHBand="0" w:noVBand="1" w:val="04A0"/>
      </w:tblPr>
      <w:tblGrid>
        <w:gridCol w:w="3293"/>
        <w:gridCol w:w="3293"/>
        <w:gridCol w:w="3293"/>
      </w:tblGrid>
      <w:tr>
        <w:trPr>
          <w:tblHeader w:val="true"/>
          <w:tblHeader w:val="true"/>
        </w:trPr>
        <w:tc>
          <w:tcPr>
            <w:tcW w:type="dxa" w:w="2376"/>
            <w:shd w:fill="0F4761"/>
            <w:tcBorders>
              <w:top w:val="single" w:sz="3" w:space="0" w:color="FFFFFF"/>
              <w:left w:val="single" w:sz="3" w:space="0" w:color="FFFFFF"/>
              <w:bottom w:val="single" w:sz="3" w:space="0" w:color="FFFFFF"/>
              <w:right w:val="single" w:sz="3" w:space="0" w:color="FFFFFF"/>
              <w:insideH w:val="single" w:sz="3" w:space="0" w:color="FFFFFF"/>
              <w:insideV w:val="single" w:sz="3" w:space="0" w:color="FFFFFF"/>
            </w:tcBorders>
            <w:tcMar>
              <w:top w:w="70" w:type="dxa"/>
              <w:start w:w="90" w:type="dxa"/>
              <w:bottom w:w="70" w:type="dxa"/>
              <w:end w:w="90" w:type="dxa"/>
            </w:tcMar>
            <w:vAlign w:val="center"/>
          </w:tcPr>
          <w:p>
            <w:pPr>
              <w:spacing w:after="0"/>
              <w:jc w:val="center"/>
            </w:pPr>
            <w:r>
              <w:rPr>
                <w:rFonts w:ascii="Aptos" w:hAnsi="Aptos" w:eastAsia="Aptos"/>
                <w:b/>
                <w:color w:val="FFFFFF"/>
                <w:sz w:val="16"/>
              </w:rPr>
              <w:t>Metric</w:t>
            </w:r>
          </w:p>
        </w:tc>
        <w:tc>
          <w:tcPr>
            <w:tcW w:type="dxa" w:w="1728"/>
            <w:shd w:fill="0F4761"/>
            <w:tcBorders>
              <w:top w:val="single" w:sz="3" w:space="0" w:color="FFFFFF"/>
              <w:left w:val="single" w:sz="3" w:space="0" w:color="FFFFFF"/>
              <w:bottom w:val="single" w:sz="3" w:space="0" w:color="FFFFFF"/>
              <w:right w:val="single" w:sz="3" w:space="0" w:color="FFFFFF"/>
              <w:insideH w:val="single" w:sz="3" w:space="0" w:color="FFFFFF"/>
              <w:insideV w:val="single" w:sz="3" w:space="0" w:color="FFFFFF"/>
            </w:tcBorders>
            <w:tcMar>
              <w:top w:w="70" w:type="dxa"/>
              <w:start w:w="90" w:type="dxa"/>
              <w:bottom w:w="70" w:type="dxa"/>
              <w:end w:w="90" w:type="dxa"/>
            </w:tcMar>
            <w:vAlign w:val="center"/>
          </w:tcPr>
          <w:p>
            <w:pPr>
              <w:spacing w:after="0"/>
              <w:jc w:val="center"/>
            </w:pPr>
            <w:r>
              <w:rPr>
                <w:rFonts w:ascii="Aptos" w:hAnsi="Aptos" w:eastAsia="Aptos"/>
                <w:b/>
                <w:color w:val="FFFFFF"/>
                <w:sz w:val="16"/>
              </w:rPr>
              <w:t>Tuned NB</w:t>
            </w:r>
          </w:p>
        </w:tc>
        <w:tc>
          <w:tcPr>
            <w:tcW w:type="dxa" w:w="5472"/>
            <w:shd w:fill="0F4761"/>
            <w:tcBorders>
              <w:top w:val="single" w:sz="3" w:space="0" w:color="FFFFFF"/>
              <w:left w:val="single" w:sz="3" w:space="0" w:color="FFFFFF"/>
              <w:bottom w:val="single" w:sz="3" w:space="0" w:color="FFFFFF"/>
              <w:right w:val="single" w:sz="3" w:space="0" w:color="FFFFFF"/>
              <w:insideH w:val="single" w:sz="3" w:space="0" w:color="FFFFFF"/>
              <w:insideV w:val="single" w:sz="3" w:space="0" w:color="FFFFFF"/>
            </w:tcBorders>
            <w:tcMar>
              <w:top w:w="70" w:type="dxa"/>
              <w:start w:w="90" w:type="dxa"/>
              <w:bottom w:w="70" w:type="dxa"/>
              <w:end w:w="90" w:type="dxa"/>
            </w:tcMar>
            <w:vAlign w:val="center"/>
          </w:tcPr>
          <w:p>
            <w:pPr>
              <w:spacing w:after="0"/>
              <w:jc w:val="center"/>
            </w:pPr>
            <w:r>
              <w:rPr>
                <w:rFonts w:ascii="Aptos" w:hAnsi="Aptos" w:eastAsia="Aptos"/>
                <w:b/>
                <w:color w:val="FFFFFF"/>
                <w:sz w:val="16"/>
              </w:rPr>
              <w:t>Benchmark / interpretation</w:t>
            </w:r>
          </w:p>
        </w:tc>
      </w:tr>
      <w:tr>
        <w:trPr>
          <w:cantSplit/>
        </w:trPr>
        <w:tc>
          <w:tcPr>
            <w:tcW w:type="dxa" w:w="2376"/>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center"/>
          </w:tcPr>
          <w:p>
            <w:pPr>
              <w:spacing w:after="0"/>
              <w:jc w:val="left"/>
            </w:pPr>
            <w:r>
              <w:rPr>
                <w:rFonts w:ascii="Cambria" w:hAnsi="Cambria" w:eastAsia="Cambria"/>
                <w:sz w:val="16"/>
              </w:rPr>
              <w:t>Multiclass Brier</w:t>
            </w:r>
          </w:p>
        </w:tc>
        <w:tc>
          <w:tcPr>
            <w:tcW w:type="dxa" w:w="1728"/>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center"/>
          </w:tcPr>
          <w:p>
            <w:pPr>
              <w:spacing w:after="0"/>
              <w:jc w:val="center"/>
            </w:pPr>
            <w:r>
              <w:rPr>
                <w:rFonts w:ascii="Cambria" w:hAnsi="Cambria" w:eastAsia="Cambria"/>
                <w:sz w:val="16"/>
              </w:rPr>
              <w:t>0.307</w:t>
            </w:r>
          </w:p>
        </w:tc>
        <w:tc>
          <w:tcPr>
            <w:tcW w:type="dxa" w:w="5472"/>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center"/>
          </w:tcPr>
          <w:p>
            <w:pPr>
              <w:spacing w:after="0"/>
              <w:jc w:val="center"/>
            </w:pPr>
            <w:r>
              <w:rPr>
                <w:rFonts w:ascii="Cambria" w:hAnsi="Cambria" w:eastAsia="Cambria"/>
                <w:sz w:val="16"/>
              </w:rPr>
              <w:t>0.317 prior-only; lower is better</w:t>
            </w:r>
          </w:p>
        </w:tc>
      </w:tr>
      <w:tr>
        <w:trPr>
          <w:cantSplit/>
        </w:trPr>
        <w:tc>
          <w:tcPr>
            <w:tcW w:type="dxa" w:w="2376"/>
            <w:shd w:fill="F2F2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center"/>
          </w:tcPr>
          <w:p>
            <w:pPr>
              <w:spacing w:after="0"/>
              <w:jc w:val="left"/>
            </w:pPr>
            <w:r>
              <w:rPr>
                <w:rFonts w:ascii="Cambria" w:hAnsi="Cambria" w:eastAsia="Cambria"/>
                <w:sz w:val="16"/>
              </w:rPr>
              <w:t>Brier skill</w:t>
            </w:r>
          </w:p>
        </w:tc>
        <w:tc>
          <w:tcPr>
            <w:tcW w:type="dxa" w:w="1728"/>
            <w:shd w:fill="F2F2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center"/>
          </w:tcPr>
          <w:p>
            <w:pPr>
              <w:spacing w:after="0"/>
              <w:jc w:val="center"/>
            </w:pPr>
            <w:r>
              <w:rPr>
                <w:rFonts w:ascii="Cambria" w:hAnsi="Cambria" w:eastAsia="Cambria"/>
                <w:sz w:val="16"/>
              </w:rPr>
              <w:t>+3.0%</w:t>
            </w:r>
          </w:p>
        </w:tc>
        <w:tc>
          <w:tcPr>
            <w:tcW w:type="dxa" w:w="5472"/>
            <w:shd w:fill="F2F2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center"/>
          </w:tcPr>
          <w:p>
            <w:pPr>
              <w:spacing w:after="0"/>
              <w:jc w:val="center"/>
            </w:pPr>
            <w:r>
              <w:rPr>
                <w:rFonts w:ascii="Cambria" w:hAnsi="Cambria" w:eastAsia="Cambria"/>
                <w:sz w:val="16"/>
              </w:rPr>
              <w:t>Improvement over prior-only</w:t>
            </w:r>
          </w:p>
        </w:tc>
      </w:tr>
      <w:tr>
        <w:trPr>
          <w:cantSplit/>
        </w:trPr>
        <w:tc>
          <w:tcPr>
            <w:tcW w:type="dxa" w:w="2376"/>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center"/>
          </w:tcPr>
          <w:p>
            <w:pPr>
              <w:spacing w:after="0"/>
              <w:jc w:val="left"/>
            </w:pPr>
            <w:r>
              <w:rPr>
                <w:rFonts w:ascii="Cambria" w:hAnsi="Cambria" w:eastAsia="Cambria"/>
                <w:sz w:val="16"/>
              </w:rPr>
              <w:t>Negative log likelihood</w:t>
            </w:r>
          </w:p>
        </w:tc>
        <w:tc>
          <w:tcPr>
            <w:tcW w:type="dxa" w:w="1728"/>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center"/>
          </w:tcPr>
          <w:p>
            <w:pPr>
              <w:spacing w:after="0"/>
              <w:jc w:val="center"/>
            </w:pPr>
            <w:r>
              <w:rPr>
                <w:rFonts w:ascii="Cambria" w:hAnsi="Cambria" w:eastAsia="Cambria"/>
                <w:sz w:val="16"/>
              </w:rPr>
              <w:t>0.596</w:t>
            </w:r>
          </w:p>
        </w:tc>
        <w:tc>
          <w:tcPr>
            <w:tcW w:type="dxa" w:w="5472"/>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center"/>
          </w:tcPr>
          <w:p>
            <w:pPr>
              <w:spacing w:after="0"/>
              <w:jc w:val="center"/>
            </w:pPr>
            <w:r>
              <w:rPr>
                <w:rFonts w:ascii="Cambria" w:hAnsi="Cambria" w:eastAsia="Cambria"/>
                <w:sz w:val="16"/>
              </w:rPr>
              <w:t>0.656 prior-only</w:t>
            </w:r>
          </w:p>
        </w:tc>
      </w:tr>
      <w:tr>
        <w:trPr>
          <w:cantSplit/>
        </w:trPr>
        <w:tc>
          <w:tcPr>
            <w:tcW w:type="dxa" w:w="2376"/>
            <w:shd w:fill="F2F2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center"/>
          </w:tcPr>
          <w:p>
            <w:pPr>
              <w:spacing w:after="0"/>
              <w:jc w:val="left"/>
            </w:pPr>
            <w:r>
              <w:rPr>
                <w:rFonts w:ascii="Cambria" w:hAnsi="Cambria" w:eastAsia="Cambria"/>
                <w:sz w:val="16"/>
              </w:rPr>
              <w:t>Balanced accuracy</w:t>
            </w:r>
          </w:p>
        </w:tc>
        <w:tc>
          <w:tcPr>
            <w:tcW w:type="dxa" w:w="1728"/>
            <w:shd w:fill="F2F2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center"/>
          </w:tcPr>
          <w:p>
            <w:pPr>
              <w:spacing w:after="0"/>
              <w:jc w:val="center"/>
            </w:pPr>
            <w:r>
              <w:rPr>
                <w:rFonts w:ascii="Cambria" w:hAnsi="Cambria" w:eastAsia="Cambria"/>
                <w:sz w:val="16"/>
              </w:rPr>
              <w:t>46.0%</w:t>
            </w:r>
          </w:p>
        </w:tc>
        <w:tc>
          <w:tcPr>
            <w:tcW w:type="dxa" w:w="5472"/>
            <w:shd w:fill="F2F2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center"/>
          </w:tcPr>
          <w:p>
            <w:pPr>
              <w:spacing w:after="0"/>
              <w:jc w:val="center"/>
            </w:pPr>
            <w:r>
              <w:rPr>
                <w:rFonts w:ascii="Cambria" w:hAnsi="Cambria" w:eastAsia="Cambria"/>
                <w:sz w:val="16"/>
              </w:rPr>
              <w:t>Average recall across three classes</w:t>
            </w:r>
          </w:p>
        </w:tc>
      </w:tr>
      <w:tr>
        <w:trPr>
          <w:cantSplit/>
        </w:trPr>
        <w:tc>
          <w:tcPr>
            <w:tcW w:type="dxa" w:w="2376"/>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center"/>
          </w:tcPr>
          <w:p>
            <w:pPr>
              <w:spacing w:after="0"/>
              <w:jc w:val="left"/>
            </w:pPr>
            <w:r>
              <w:rPr>
                <w:rFonts w:ascii="Cambria" w:hAnsi="Cambria" w:eastAsia="Cambria"/>
                <w:sz w:val="16"/>
              </w:rPr>
              <w:t>Macro-F1</w:t>
            </w:r>
          </w:p>
        </w:tc>
        <w:tc>
          <w:tcPr>
            <w:tcW w:type="dxa" w:w="1728"/>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center"/>
          </w:tcPr>
          <w:p>
            <w:pPr>
              <w:spacing w:after="0"/>
              <w:jc w:val="center"/>
            </w:pPr>
            <w:r>
              <w:rPr>
                <w:rFonts w:ascii="Cambria" w:hAnsi="Cambria" w:eastAsia="Cambria"/>
                <w:sz w:val="16"/>
              </w:rPr>
              <w:t>41.2%</w:t>
            </w:r>
          </w:p>
        </w:tc>
        <w:tc>
          <w:tcPr>
            <w:tcW w:type="dxa" w:w="5472"/>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center"/>
          </w:tcPr>
          <w:p>
            <w:pPr>
              <w:spacing w:after="0"/>
              <w:jc w:val="center"/>
            </w:pPr>
            <w:r>
              <w:rPr>
                <w:rFonts w:ascii="Cambria" w:hAnsi="Cambria" w:eastAsia="Cambria"/>
                <w:sz w:val="16"/>
              </w:rPr>
              <w:t>Equal weight to all three class F1 scores</w:t>
            </w:r>
          </w:p>
        </w:tc>
      </w:tr>
    </w:tbl>
    <w:p>
      <w:pPr>
        <w:spacing w:after="0"/>
      </w:pPr>
    </w:p>
    <w:p>
      <w:pPr>
        <w:pStyle w:val="BodyText"/>
        <w:jc w:val="both"/>
      </w:pPr>
      <w:r>
        <w:t>Ordinary accuracy is not the headline metric because completion dominates the labels; a classifier that always predicts completed would appear accurate while providing no break-risk information. Probability quality is therefore judged primarily by temporal Brier score and log loss, with balanced accuracy and macro-F1 used only to diagnose class discrimination. The current deployment averages are 84.99% completed, 11.25% terminated, and 3.76% withdrawn.</w:t>
      </w:r>
    </w:p>
    <w:p>
      <w:r>
        <w:br w:type="page"/>
      </w:r>
    </w:p>
    <w:p>
      <w:pPr>
        <w:pStyle w:val="Heading2"/>
        <w:keepNext/>
      </w:pPr>
      <w:r>
        <w:t>5. Stages 5–6 — Payoff Overlay and Trade Decisions</w:t>
      </w:r>
    </w:p>
    <w:p>
      <w:pPr>
        <w:pStyle w:val="Heading3"/>
        <w:keepNext/>
      </w:pPr>
      <w:r>
        <w:t>5.1 Three-State Payoff Overlay</w:t>
      </w:r>
    </w:p>
    <w:p>
      <w:pPr>
        <w:pStyle w:val="FirstParagraph"/>
        <w:jc w:val="both"/>
      </w:pPr>
      <w:r>
        <w:t>The completed state settles through the election Monte Carlo. In the terminated state the target is assumed to revert and the target leg absorbs the primary loss. In the withdrawn state the target reverts and the acquirer hedge is closed, producing a distinct loss state. The probability-weighted mixture converts a mechanically positive completed-state election edge into a distribution with a genuine downside tail.</w:t>
      </w:r>
    </w:p>
    <w:tbl>
      <w:tblPr>
        <w:tblW w:type="auto" w:w="0"/>
        <w:jc w:val="center"/>
        <w:tblLayout w:type="fixed"/>
        <w:tblLook w:firstColumn="1" w:firstRow="1" w:lastColumn="0" w:lastRow="0" w:noHBand="0" w:noVBand="1" w:val="04A0"/>
      </w:tblPr>
      <w:tblGrid>
        <w:gridCol w:w="4939"/>
        <w:gridCol w:w="4939"/>
      </w:tblGrid>
      <w:tr>
        <w:trPr>
          <w:tblHeader w:val="true"/>
          <w:tblHeader w:val="true"/>
        </w:trPr>
        <w:tc>
          <w:tcPr>
            <w:tcW w:type="dxa" w:w="5256"/>
            <w:shd w:fill="0F4761"/>
            <w:tcBorders>
              <w:top w:val="single" w:sz="3" w:space="0" w:color="FFFFFF"/>
              <w:left w:val="single" w:sz="3" w:space="0" w:color="FFFFFF"/>
              <w:bottom w:val="single" w:sz="3" w:space="0" w:color="FFFFFF"/>
              <w:right w:val="single" w:sz="3" w:space="0" w:color="FFFFFF"/>
              <w:insideH w:val="single" w:sz="3" w:space="0" w:color="FFFFFF"/>
              <w:insideV w:val="single" w:sz="3" w:space="0" w:color="FFFFFF"/>
            </w:tcBorders>
            <w:tcMar>
              <w:top w:w="70" w:type="dxa"/>
              <w:start w:w="90" w:type="dxa"/>
              <w:bottom w:w="70" w:type="dxa"/>
              <w:end w:w="90" w:type="dxa"/>
            </w:tcMar>
            <w:vAlign w:val="center"/>
          </w:tcPr>
          <w:p>
            <w:pPr>
              <w:spacing w:after="0"/>
              <w:jc w:val="center"/>
            </w:pPr>
            <w:r>
              <w:rPr>
                <w:rFonts w:ascii="Aptos" w:hAnsi="Aptos" w:eastAsia="Aptos"/>
                <w:b/>
                <w:color w:val="FFFFFF"/>
                <w:sz w:val="17"/>
              </w:rPr>
              <w:t>Stage 5 output</w:t>
            </w:r>
          </w:p>
        </w:tc>
        <w:tc>
          <w:tcPr>
            <w:tcW w:type="dxa" w:w="4320"/>
            <w:shd w:fill="0F4761"/>
            <w:tcBorders>
              <w:top w:val="single" w:sz="3" w:space="0" w:color="FFFFFF"/>
              <w:left w:val="single" w:sz="3" w:space="0" w:color="FFFFFF"/>
              <w:bottom w:val="single" w:sz="3" w:space="0" w:color="FFFFFF"/>
              <w:right w:val="single" w:sz="3" w:space="0" w:color="FFFFFF"/>
              <w:insideH w:val="single" w:sz="3" w:space="0" w:color="FFFFFF"/>
              <w:insideV w:val="single" w:sz="3" w:space="0" w:color="FFFFFF"/>
            </w:tcBorders>
            <w:tcMar>
              <w:top w:w="70" w:type="dxa"/>
              <w:start w:w="90" w:type="dxa"/>
              <w:bottom w:w="70" w:type="dxa"/>
              <w:end w:w="90" w:type="dxa"/>
            </w:tcMar>
            <w:vAlign w:val="center"/>
          </w:tcPr>
          <w:p>
            <w:pPr>
              <w:spacing w:after="0"/>
              <w:jc w:val="center"/>
            </w:pPr>
            <w:r>
              <w:rPr>
                <w:rFonts w:ascii="Aptos" w:hAnsi="Aptos" w:eastAsia="Aptos"/>
                <w:b/>
                <w:color w:val="FFFFFF"/>
                <w:sz w:val="17"/>
              </w:rPr>
              <w:t>Value</w:t>
            </w:r>
          </w:p>
        </w:tc>
      </w:tr>
      <w:tr>
        <w:trPr>
          <w:cantSplit/>
        </w:trPr>
        <w:tc>
          <w:tcPr>
            <w:tcW w:type="dxa" w:w="5256"/>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center"/>
          </w:tcPr>
          <w:p>
            <w:pPr>
              <w:spacing w:after="0"/>
              <w:jc w:val="left"/>
            </w:pPr>
            <w:r>
              <w:rPr>
                <w:rFonts w:ascii="Cambria" w:hAnsi="Cambria" w:eastAsia="Cambria"/>
                <w:sz w:val="17"/>
              </w:rPr>
              <w:t>Monte Carlo-ready deals</w:t>
            </w:r>
          </w:p>
        </w:tc>
        <w:tc>
          <w:tcPr>
            <w:tcW w:type="dxa" w:w="4320"/>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center"/>
          </w:tcPr>
          <w:p>
            <w:pPr>
              <w:spacing w:after="0"/>
              <w:jc w:val="left"/>
            </w:pPr>
            <w:r>
              <w:rPr>
                <w:rFonts w:ascii="Cambria" w:hAnsi="Cambria" w:eastAsia="Cambria"/>
                <w:sz w:val="17"/>
              </w:rPr>
              <w:t>32</w:t>
            </w:r>
          </w:p>
        </w:tc>
      </w:tr>
      <w:tr>
        <w:trPr>
          <w:cantSplit/>
        </w:trPr>
        <w:tc>
          <w:tcPr>
            <w:tcW w:type="dxa" w:w="5256"/>
            <w:shd w:fill="F2F2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center"/>
          </w:tcPr>
          <w:p>
            <w:pPr>
              <w:spacing w:after="0"/>
              <w:jc w:val="left"/>
            </w:pPr>
            <w:r>
              <w:rPr>
                <w:rFonts w:ascii="Cambria" w:hAnsi="Cambria" w:eastAsia="Cambria"/>
                <w:sz w:val="17"/>
              </w:rPr>
              <w:t>Mean completed-state edge</w:t>
            </w:r>
          </w:p>
        </w:tc>
        <w:tc>
          <w:tcPr>
            <w:tcW w:type="dxa" w:w="4320"/>
            <w:shd w:fill="F2F2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center"/>
          </w:tcPr>
          <w:p>
            <w:pPr>
              <w:spacing w:after="0"/>
              <w:jc w:val="left"/>
            </w:pPr>
            <w:r>
              <w:rPr>
                <w:rFonts w:ascii="Cambria" w:hAnsi="Cambria" w:eastAsia="Cambria"/>
                <w:sz w:val="17"/>
              </w:rPr>
              <w:t>7.70%</w:t>
            </w:r>
          </w:p>
        </w:tc>
      </w:tr>
      <w:tr>
        <w:trPr>
          <w:cantSplit/>
        </w:trPr>
        <w:tc>
          <w:tcPr>
            <w:tcW w:type="dxa" w:w="5256"/>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center"/>
          </w:tcPr>
          <w:p>
            <w:pPr>
              <w:spacing w:after="0"/>
              <w:jc w:val="left"/>
            </w:pPr>
            <w:r>
              <w:rPr>
                <w:rFonts w:ascii="Cambria" w:hAnsi="Cambria" w:eastAsia="Cambria"/>
                <w:sz w:val="17"/>
              </w:rPr>
              <w:t>Mean three-state risk-adjusted edge</w:t>
            </w:r>
          </w:p>
        </w:tc>
        <w:tc>
          <w:tcPr>
            <w:tcW w:type="dxa" w:w="4320"/>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center"/>
          </w:tcPr>
          <w:p>
            <w:pPr>
              <w:spacing w:after="0"/>
              <w:jc w:val="left"/>
            </w:pPr>
            <w:r>
              <w:rPr>
                <w:rFonts w:ascii="Cambria" w:hAnsi="Cambria" w:eastAsia="Cambria"/>
                <w:sz w:val="17"/>
              </w:rPr>
              <w:t>1.94%</w:t>
            </w:r>
          </w:p>
        </w:tc>
      </w:tr>
      <w:tr>
        <w:trPr>
          <w:cantSplit/>
        </w:trPr>
        <w:tc>
          <w:tcPr>
            <w:tcW w:type="dxa" w:w="5256"/>
            <w:shd w:fill="F2F2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center"/>
          </w:tcPr>
          <w:p>
            <w:pPr>
              <w:spacing w:after="0"/>
              <w:jc w:val="left"/>
            </w:pPr>
            <w:r>
              <w:rPr>
                <w:rFonts w:ascii="Cambria" w:hAnsi="Cambria" w:eastAsia="Cambria"/>
                <w:sz w:val="17"/>
              </w:rPr>
              <w:t>Three-state portfolio p05</w:t>
            </w:r>
          </w:p>
        </w:tc>
        <w:tc>
          <w:tcPr>
            <w:tcW w:type="dxa" w:w="4320"/>
            <w:shd w:fill="F2F2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center"/>
          </w:tcPr>
          <w:p>
            <w:pPr>
              <w:spacing w:after="0"/>
              <w:jc w:val="left"/>
            </w:pPr>
            <w:r>
              <w:rPr>
                <w:rFonts w:ascii="Cambria" w:hAnsi="Cambria" w:eastAsia="Cambria"/>
                <w:sz w:val="17"/>
              </w:rPr>
              <w:t>-2.62%</w:t>
            </w:r>
          </w:p>
        </w:tc>
      </w:tr>
    </w:tbl>
    <w:p>
      <w:pPr>
        <w:spacing w:after="0"/>
      </w:pPr>
    </w:p>
    <w:p>
      <w:pPr>
        <w:pStyle w:val="Heading3"/>
        <w:keepNext/>
      </w:pPr>
      <w:r>
        <w:t>5.2 Risk Gates and Signal Distribution</w:t>
      </w:r>
    </w:p>
    <w:p>
      <w:pPr>
        <w:pStyle w:val="BodyText"/>
        <w:jc w:val="both"/>
      </w:pPr>
      <w:r>
        <w:t>Both ENTER and REVERSE are evaluated on expected return, p05, CVaR, and loss probability. A direction is selected only when it clears every gate. This produces a deliberately selective blotter:</w:t>
      </w:r>
    </w:p>
    <w:tbl>
      <w:tblPr>
        <w:tblW w:type="auto" w:w="0"/>
        <w:jc w:val="center"/>
        <w:tblLayout w:type="fixed"/>
        <w:tblLook w:firstColumn="1" w:firstRow="1" w:lastColumn="0" w:lastRow="0" w:noHBand="0" w:noVBand="1" w:val="04A0"/>
      </w:tblPr>
      <w:tblGrid>
        <w:gridCol w:w="3293"/>
        <w:gridCol w:w="3293"/>
        <w:gridCol w:w="3293"/>
      </w:tblGrid>
      <w:tr>
        <w:trPr>
          <w:tblHeader w:val="true"/>
          <w:tblHeader w:val="true"/>
        </w:trPr>
        <w:tc>
          <w:tcPr>
            <w:tcW w:type="dxa" w:w="2088"/>
            <w:shd w:fill="0F4761"/>
            <w:tcBorders>
              <w:top w:val="single" w:sz="3" w:space="0" w:color="FFFFFF"/>
              <w:left w:val="single" w:sz="3" w:space="0" w:color="FFFFFF"/>
              <w:bottom w:val="single" w:sz="3" w:space="0" w:color="FFFFFF"/>
              <w:right w:val="single" w:sz="3" w:space="0" w:color="FFFFFF"/>
              <w:insideH w:val="single" w:sz="3" w:space="0" w:color="FFFFFF"/>
              <w:insideV w:val="single" w:sz="3" w:space="0" w:color="FFFFFF"/>
            </w:tcBorders>
            <w:tcMar>
              <w:top w:w="70" w:type="dxa"/>
              <w:start w:w="90" w:type="dxa"/>
              <w:bottom w:w="70" w:type="dxa"/>
              <w:end w:w="90" w:type="dxa"/>
            </w:tcMar>
            <w:vAlign w:val="center"/>
          </w:tcPr>
          <w:p>
            <w:pPr>
              <w:spacing w:after="0"/>
              <w:jc w:val="center"/>
            </w:pPr>
            <w:r>
              <w:rPr>
                <w:rFonts w:ascii="Aptos" w:hAnsi="Aptos" w:eastAsia="Aptos"/>
                <w:b/>
                <w:color w:val="FFFFFF"/>
                <w:sz w:val="16"/>
              </w:rPr>
              <w:t>Decision</w:t>
            </w:r>
          </w:p>
        </w:tc>
        <w:tc>
          <w:tcPr>
            <w:tcW w:type="dxa" w:w="936"/>
            <w:shd w:fill="0F4761"/>
            <w:tcBorders>
              <w:top w:val="single" w:sz="3" w:space="0" w:color="FFFFFF"/>
              <w:left w:val="single" w:sz="3" w:space="0" w:color="FFFFFF"/>
              <w:bottom w:val="single" w:sz="3" w:space="0" w:color="FFFFFF"/>
              <w:right w:val="single" w:sz="3" w:space="0" w:color="FFFFFF"/>
              <w:insideH w:val="single" w:sz="3" w:space="0" w:color="FFFFFF"/>
              <w:insideV w:val="single" w:sz="3" w:space="0" w:color="FFFFFF"/>
            </w:tcBorders>
            <w:tcMar>
              <w:top w:w="70" w:type="dxa"/>
              <w:start w:w="90" w:type="dxa"/>
              <w:bottom w:w="70" w:type="dxa"/>
              <w:end w:w="90" w:type="dxa"/>
            </w:tcMar>
            <w:vAlign w:val="center"/>
          </w:tcPr>
          <w:p>
            <w:pPr>
              <w:spacing w:after="0"/>
              <w:jc w:val="center"/>
            </w:pPr>
            <w:r>
              <w:rPr>
                <w:rFonts w:ascii="Aptos" w:hAnsi="Aptos" w:eastAsia="Aptos"/>
                <w:b/>
                <w:color w:val="FFFFFF"/>
                <w:sz w:val="16"/>
              </w:rPr>
              <w:t>Count</w:t>
            </w:r>
          </w:p>
        </w:tc>
        <w:tc>
          <w:tcPr>
            <w:tcW w:type="dxa" w:w="6552"/>
            <w:shd w:fill="0F4761"/>
            <w:tcBorders>
              <w:top w:val="single" w:sz="3" w:space="0" w:color="FFFFFF"/>
              <w:left w:val="single" w:sz="3" w:space="0" w:color="FFFFFF"/>
              <w:bottom w:val="single" w:sz="3" w:space="0" w:color="FFFFFF"/>
              <w:right w:val="single" w:sz="3" w:space="0" w:color="FFFFFF"/>
              <w:insideH w:val="single" w:sz="3" w:space="0" w:color="FFFFFF"/>
              <w:insideV w:val="single" w:sz="3" w:space="0" w:color="FFFFFF"/>
            </w:tcBorders>
            <w:tcMar>
              <w:top w:w="70" w:type="dxa"/>
              <w:start w:w="90" w:type="dxa"/>
              <w:bottom w:w="70" w:type="dxa"/>
              <w:end w:w="90" w:type="dxa"/>
            </w:tcMar>
            <w:vAlign w:val="center"/>
          </w:tcPr>
          <w:p>
            <w:pPr>
              <w:spacing w:after="0"/>
              <w:jc w:val="center"/>
            </w:pPr>
            <w:r>
              <w:rPr>
                <w:rFonts w:ascii="Aptos" w:hAnsi="Aptos" w:eastAsia="Aptos"/>
                <w:b/>
                <w:color w:val="FFFFFF"/>
                <w:sz w:val="16"/>
              </w:rPr>
              <w:t>Meaning</w:t>
            </w:r>
          </w:p>
        </w:tc>
      </w:tr>
      <w:tr>
        <w:trPr>
          <w:cantSplit/>
        </w:trPr>
        <w:tc>
          <w:tcPr>
            <w:tcW w:type="dxa" w:w="2088"/>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center"/>
          </w:tcPr>
          <w:p>
            <w:pPr>
              <w:spacing w:after="0"/>
              <w:jc w:val="left"/>
            </w:pPr>
            <w:r>
              <w:rPr>
                <w:rFonts w:ascii="Cambria" w:hAnsi="Cambria" w:eastAsia="Cambria"/>
                <w:sz w:val="16"/>
              </w:rPr>
              <w:t>ENTER</w:t>
            </w:r>
          </w:p>
        </w:tc>
        <w:tc>
          <w:tcPr>
            <w:tcW w:type="dxa" w:w="936"/>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center"/>
          </w:tcPr>
          <w:p>
            <w:pPr>
              <w:spacing w:after="0"/>
              <w:jc w:val="center"/>
            </w:pPr>
            <w:r>
              <w:rPr>
                <w:rFonts w:ascii="Cambria" w:hAnsi="Cambria" w:eastAsia="Cambria"/>
                <w:sz w:val="16"/>
              </w:rPr>
              <w:t>10</w:t>
            </w:r>
          </w:p>
        </w:tc>
        <w:tc>
          <w:tcPr>
            <w:tcW w:type="dxa" w:w="6552"/>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center"/>
          </w:tcPr>
          <w:p>
            <w:pPr>
              <w:spacing w:after="0"/>
              <w:jc w:val="center"/>
            </w:pPr>
            <w:r>
              <w:rPr>
                <w:rFonts w:ascii="Cambria" w:hAnsi="Cambria" w:eastAsia="Cambria"/>
                <w:sz w:val="16"/>
              </w:rPr>
              <w:t>Long target election trade clears all gates</w:t>
            </w:r>
          </w:p>
        </w:tc>
      </w:tr>
      <w:tr>
        <w:trPr>
          <w:cantSplit/>
        </w:trPr>
        <w:tc>
          <w:tcPr>
            <w:tcW w:type="dxa" w:w="2088"/>
            <w:shd w:fill="F2F2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center"/>
          </w:tcPr>
          <w:p>
            <w:pPr>
              <w:spacing w:after="0"/>
              <w:jc w:val="left"/>
            </w:pPr>
            <w:r>
              <w:rPr>
                <w:rFonts w:ascii="Cambria" w:hAnsi="Cambria" w:eastAsia="Cambria"/>
                <w:sz w:val="16"/>
              </w:rPr>
              <w:t>REVERSE</w:t>
            </w:r>
          </w:p>
        </w:tc>
        <w:tc>
          <w:tcPr>
            <w:tcW w:type="dxa" w:w="936"/>
            <w:shd w:fill="F2F2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center"/>
          </w:tcPr>
          <w:p>
            <w:pPr>
              <w:spacing w:after="0"/>
              <w:jc w:val="center"/>
            </w:pPr>
            <w:r>
              <w:rPr>
                <w:rFonts w:ascii="Cambria" w:hAnsi="Cambria" w:eastAsia="Cambria"/>
                <w:sz w:val="16"/>
              </w:rPr>
              <w:t>10</w:t>
            </w:r>
          </w:p>
        </w:tc>
        <w:tc>
          <w:tcPr>
            <w:tcW w:type="dxa" w:w="6552"/>
            <w:shd w:fill="F2F2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center"/>
          </w:tcPr>
          <w:p>
            <w:pPr>
              <w:spacing w:after="0"/>
              <w:jc w:val="center"/>
            </w:pPr>
            <w:r>
              <w:rPr>
                <w:rFonts w:ascii="Cambria" w:hAnsi="Cambria" w:eastAsia="Cambria"/>
                <w:sz w:val="16"/>
              </w:rPr>
              <w:t>Passive blended settlement is rich enough to short</w:t>
            </w:r>
          </w:p>
        </w:tc>
      </w:tr>
      <w:tr>
        <w:trPr>
          <w:cantSplit/>
        </w:trPr>
        <w:tc>
          <w:tcPr>
            <w:tcW w:type="dxa" w:w="2088"/>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center"/>
          </w:tcPr>
          <w:p>
            <w:pPr>
              <w:spacing w:after="0"/>
              <w:jc w:val="left"/>
            </w:pPr>
            <w:r>
              <w:rPr>
                <w:rFonts w:ascii="Cambria" w:hAnsi="Cambria" w:eastAsia="Cambria"/>
                <w:sz w:val="16"/>
              </w:rPr>
              <w:t>REVIEW</w:t>
            </w:r>
          </w:p>
        </w:tc>
        <w:tc>
          <w:tcPr>
            <w:tcW w:type="dxa" w:w="936"/>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center"/>
          </w:tcPr>
          <w:p>
            <w:pPr>
              <w:spacing w:after="0"/>
              <w:jc w:val="center"/>
            </w:pPr>
            <w:r>
              <w:rPr>
                <w:rFonts w:ascii="Cambria" w:hAnsi="Cambria" w:eastAsia="Cambria"/>
                <w:sz w:val="16"/>
              </w:rPr>
              <w:t>20</w:t>
            </w:r>
          </w:p>
        </w:tc>
        <w:tc>
          <w:tcPr>
            <w:tcW w:type="dxa" w:w="6552"/>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center"/>
          </w:tcPr>
          <w:p>
            <w:pPr>
              <w:spacing w:after="0"/>
              <w:jc w:val="center"/>
            </w:pPr>
            <w:r>
              <w:rPr>
                <w:rFonts w:ascii="Cambria" w:hAnsi="Cambria" w:eastAsia="Cambria"/>
                <w:sz w:val="16"/>
              </w:rPr>
              <w:t>Terms or pricing require manual validation</w:t>
            </w:r>
          </w:p>
        </w:tc>
      </w:tr>
      <w:tr>
        <w:trPr>
          <w:cantSplit/>
        </w:trPr>
        <w:tc>
          <w:tcPr>
            <w:tcW w:type="dxa" w:w="2088"/>
            <w:shd w:fill="F2F2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center"/>
          </w:tcPr>
          <w:p>
            <w:pPr>
              <w:spacing w:after="0"/>
              <w:jc w:val="left"/>
            </w:pPr>
            <w:r>
              <w:rPr>
                <w:rFonts w:ascii="Cambria" w:hAnsi="Cambria" w:eastAsia="Cambria"/>
                <w:sz w:val="16"/>
              </w:rPr>
              <w:t>PASS_LOSS_PROB</w:t>
            </w:r>
          </w:p>
        </w:tc>
        <w:tc>
          <w:tcPr>
            <w:tcW w:type="dxa" w:w="936"/>
            <w:shd w:fill="F2F2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center"/>
          </w:tcPr>
          <w:p>
            <w:pPr>
              <w:spacing w:after="0"/>
              <w:jc w:val="center"/>
            </w:pPr>
            <w:r>
              <w:rPr>
                <w:rFonts w:ascii="Cambria" w:hAnsi="Cambria" w:eastAsia="Cambria"/>
                <w:sz w:val="16"/>
              </w:rPr>
              <w:t>28</w:t>
            </w:r>
          </w:p>
        </w:tc>
        <w:tc>
          <w:tcPr>
            <w:tcW w:type="dxa" w:w="6552"/>
            <w:shd w:fill="F2F2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center"/>
          </w:tcPr>
          <w:p>
            <w:pPr>
              <w:spacing w:after="0"/>
              <w:jc w:val="center"/>
            </w:pPr>
            <w:r>
              <w:rPr>
                <w:rFonts w:ascii="Cambria" w:hAnsi="Cambria" w:eastAsia="Cambria"/>
                <w:sz w:val="16"/>
              </w:rPr>
              <w:t>Tail-loss probability exceeds the ceiling</w:t>
            </w:r>
          </w:p>
        </w:tc>
      </w:tr>
      <w:tr>
        <w:trPr>
          <w:cantSplit/>
        </w:trPr>
        <w:tc>
          <w:tcPr>
            <w:tcW w:type="dxa" w:w="2088"/>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center"/>
          </w:tcPr>
          <w:p>
            <w:pPr>
              <w:spacing w:after="0"/>
              <w:jc w:val="left"/>
            </w:pPr>
            <w:r>
              <w:rPr>
                <w:rFonts w:ascii="Cambria" w:hAnsi="Cambria" w:eastAsia="Cambria"/>
                <w:sz w:val="16"/>
              </w:rPr>
              <w:t>PASS_P05</w:t>
            </w:r>
          </w:p>
        </w:tc>
        <w:tc>
          <w:tcPr>
            <w:tcW w:type="dxa" w:w="936"/>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center"/>
          </w:tcPr>
          <w:p>
            <w:pPr>
              <w:spacing w:after="0"/>
              <w:jc w:val="center"/>
            </w:pPr>
            <w:r>
              <w:rPr>
                <w:rFonts w:ascii="Cambria" w:hAnsi="Cambria" w:eastAsia="Cambria"/>
                <w:sz w:val="16"/>
              </w:rPr>
              <w:t>19</w:t>
            </w:r>
          </w:p>
        </w:tc>
        <w:tc>
          <w:tcPr>
            <w:tcW w:type="dxa" w:w="6552"/>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center"/>
          </w:tcPr>
          <w:p>
            <w:pPr>
              <w:spacing w:after="0"/>
              <w:jc w:val="center"/>
            </w:pPr>
            <w:r>
              <w:rPr>
                <w:rFonts w:ascii="Cambria" w:hAnsi="Cambria" w:eastAsia="Cambria"/>
                <w:sz w:val="16"/>
              </w:rPr>
              <w:t>Fifth-percentile return is below the floor</w:t>
            </w:r>
          </w:p>
        </w:tc>
      </w:tr>
      <w:tr>
        <w:trPr>
          <w:cantSplit/>
        </w:trPr>
        <w:tc>
          <w:tcPr>
            <w:tcW w:type="dxa" w:w="2088"/>
            <w:shd w:fill="F2F2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center"/>
          </w:tcPr>
          <w:p>
            <w:pPr>
              <w:spacing w:after="0"/>
              <w:jc w:val="left"/>
            </w:pPr>
            <w:r>
              <w:rPr>
                <w:rFonts w:ascii="Cambria" w:hAnsi="Cambria" w:eastAsia="Cambria"/>
                <w:sz w:val="16"/>
              </w:rPr>
              <w:t>PASS</w:t>
            </w:r>
          </w:p>
        </w:tc>
        <w:tc>
          <w:tcPr>
            <w:tcW w:type="dxa" w:w="936"/>
            <w:shd w:fill="F2F2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center"/>
          </w:tcPr>
          <w:p>
            <w:pPr>
              <w:spacing w:after="0"/>
              <w:jc w:val="center"/>
            </w:pPr>
            <w:r>
              <w:rPr>
                <w:rFonts w:ascii="Cambria" w:hAnsi="Cambria" w:eastAsia="Cambria"/>
                <w:sz w:val="16"/>
              </w:rPr>
              <w:t>1</w:t>
            </w:r>
          </w:p>
        </w:tc>
        <w:tc>
          <w:tcPr>
            <w:tcW w:type="dxa" w:w="6552"/>
            <w:shd w:fill="F2F2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center"/>
          </w:tcPr>
          <w:p>
            <w:pPr>
              <w:spacing w:after="0"/>
              <w:jc w:val="center"/>
            </w:pPr>
            <w:r>
              <w:rPr>
                <w:rFonts w:ascii="Cambria" w:hAnsi="Cambria" w:eastAsia="Cambria"/>
                <w:sz w:val="16"/>
              </w:rPr>
              <w:t>No acceptable risk-adjusted edge</w:t>
            </w:r>
          </w:p>
        </w:tc>
      </w:tr>
    </w:tbl>
    <w:p>
      <w:pPr>
        <w:spacing w:after="0"/>
      </w:pPr>
    </w:p>
    <w:p>
      <w:pPr>
        <w:pStyle w:val="BodyText"/>
        <w:jc w:val="both"/>
      </w:pPr>
      <w:r>
        <w:t>The large REVIEW and PASS population is not evidence that the pipeline failed. REVIEW preserves data integrity when the terms are implausible, while PASS is the intended output when an attractive mean is not robust to tail risk. The practical gain of Stage 6 is disciplined non-trading: only 20 of 88 priced signals enter capacity analysis.</w:t>
      </w:r>
    </w:p>
    <w:p>
      <w:r>
        <w:br w:type="page"/>
      </w:r>
    </w:p>
    <w:p>
      <w:pPr>
        <w:pStyle w:val="Heading2"/>
        <w:keepNext/>
      </w:pPr>
      <w:r>
        <w:t>6. Stages 7–8 — Holder Structure and Capacity</w:t>
      </w:r>
    </w:p>
    <w:p>
      <w:pPr>
        <w:pStyle w:val="Heading3"/>
        <w:keepNext/>
      </w:pPr>
      <w:r>
        <w:t>6.1 Stage 7 Holder-Structure Model</w:t>
      </w:r>
    </w:p>
    <w:p>
      <w:pPr>
        <w:pStyle w:val="FirstParagraph"/>
        <w:jc w:val="both"/>
      </w:pPr>
      <w:r>
        <w:t>The rolling structural model estimates p_hat, the noisy holder's cash-election probability, and q_hat, the EV-sensitive active-holder share of target ownership. Passive ownership is measured separately from WRDS/ETF inputs. Fits use only prior disclosed events, preserving time order.</w:t>
      </w:r>
    </w:p>
    <w:tbl>
      <w:tblPr>
        <w:tblW w:type="auto" w:w="0"/>
        <w:jc w:val="center"/>
        <w:tblLayout w:type="fixed"/>
        <w:tblLook w:firstColumn="1" w:firstRow="1" w:lastColumn="0" w:lastRow="0" w:noHBand="0" w:noVBand="1" w:val="04A0"/>
      </w:tblPr>
      <w:tblGrid>
        <w:gridCol w:w="4939"/>
        <w:gridCol w:w="4939"/>
      </w:tblGrid>
      <w:tr>
        <w:trPr>
          <w:tblHeader w:val="true"/>
          <w:tblHeader w:val="true"/>
        </w:trPr>
        <w:tc>
          <w:tcPr>
            <w:tcW w:type="dxa" w:w="3816"/>
            <w:shd w:fill="0F4761"/>
            <w:tcBorders>
              <w:top w:val="single" w:sz="3" w:space="0" w:color="FFFFFF"/>
              <w:left w:val="single" w:sz="3" w:space="0" w:color="FFFFFF"/>
              <w:bottom w:val="single" w:sz="3" w:space="0" w:color="FFFFFF"/>
              <w:right w:val="single" w:sz="3" w:space="0" w:color="FFFFFF"/>
              <w:insideH w:val="single" w:sz="3" w:space="0" w:color="FFFFFF"/>
              <w:insideV w:val="single" w:sz="3" w:space="0" w:color="FFFFFF"/>
            </w:tcBorders>
            <w:tcMar>
              <w:top w:w="70" w:type="dxa"/>
              <w:start w:w="90" w:type="dxa"/>
              <w:bottom w:w="70" w:type="dxa"/>
              <w:end w:w="90" w:type="dxa"/>
            </w:tcMar>
            <w:vAlign w:val="center"/>
          </w:tcPr>
          <w:p>
            <w:pPr>
              <w:spacing w:after="0"/>
              <w:jc w:val="center"/>
            </w:pPr>
            <w:r>
              <w:rPr>
                <w:rFonts w:ascii="Aptos" w:hAnsi="Aptos" w:eastAsia="Aptos"/>
                <w:b/>
                <w:color w:val="FFFFFF"/>
                <w:sz w:val="16"/>
              </w:rPr>
              <w:t>Holder-model diagnostic</w:t>
            </w:r>
          </w:p>
        </w:tc>
        <w:tc>
          <w:tcPr>
            <w:tcW w:type="dxa" w:w="5760"/>
            <w:shd w:fill="0F4761"/>
            <w:tcBorders>
              <w:top w:val="single" w:sz="3" w:space="0" w:color="FFFFFF"/>
              <w:left w:val="single" w:sz="3" w:space="0" w:color="FFFFFF"/>
              <w:bottom w:val="single" w:sz="3" w:space="0" w:color="FFFFFF"/>
              <w:right w:val="single" w:sz="3" w:space="0" w:color="FFFFFF"/>
              <w:insideH w:val="single" w:sz="3" w:space="0" w:color="FFFFFF"/>
              <w:insideV w:val="single" w:sz="3" w:space="0" w:color="FFFFFF"/>
            </w:tcBorders>
            <w:tcMar>
              <w:top w:w="70" w:type="dxa"/>
              <w:start w:w="90" w:type="dxa"/>
              <w:bottom w:w="70" w:type="dxa"/>
              <w:end w:w="90" w:type="dxa"/>
            </w:tcMar>
            <w:vAlign w:val="center"/>
          </w:tcPr>
          <w:p>
            <w:pPr>
              <w:spacing w:after="0"/>
              <w:jc w:val="center"/>
            </w:pPr>
            <w:r>
              <w:rPr>
                <w:rFonts w:ascii="Aptos" w:hAnsi="Aptos" w:eastAsia="Aptos"/>
                <w:b/>
                <w:color w:val="FFFFFF"/>
                <w:sz w:val="16"/>
              </w:rPr>
              <w:t>Current result</w:t>
            </w:r>
          </w:p>
        </w:tc>
      </w:tr>
      <w:tr>
        <w:trPr>
          <w:cantSplit/>
        </w:trPr>
        <w:tc>
          <w:tcPr>
            <w:tcW w:type="dxa" w:w="3816"/>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center"/>
          </w:tcPr>
          <w:p>
            <w:pPr>
              <w:spacing w:after="0"/>
              <w:jc w:val="left"/>
            </w:pPr>
            <w:r>
              <w:rPr>
                <w:rFonts w:ascii="Cambria" w:hAnsi="Cambria" w:eastAsia="Cambria"/>
                <w:sz w:val="16"/>
              </w:rPr>
              <w:t>Event-level estimates</w:t>
            </w:r>
          </w:p>
        </w:tc>
        <w:tc>
          <w:tcPr>
            <w:tcW w:type="dxa" w:w="5760"/>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center"/>
          </w:tcPr>
          <w:p>
            <w:pPr>
              <w:spacing w:after="0"/>
              <w:jc w:val="left"/>
            </w:pPr>
            <w:r>
              <w:rPr>
                <w:rFonts w:ascii="Cambria" w:hAnsi="Cambria" w:eastAsia="Cambria"/>
                <w:sz w:val="16"/>
              </w:rPr>
              <w:t>293</w:t>
            </w:r>
          </w:p>
        </w:tc>
      </w:tr>
      <w:tr>
        <w:trPr>
          <w:cantSplit/>
        </w:trPr>
        <w:tc>
          <w:tcPr>
            <w:tcW w:type="dxa" w:w="3816"/>
            <w:shd w:fill="F2F2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center"/>
          </w:tcPr>
          <w:p>
            <w:pPr>
              <w:spacing w:after="0"/>
              <w:jc w:val="left"/>
            </w:pPr>
            <w:r>
              <w:rPr>
                <w:rFonts w:ascii="Cambria" w:hAnsi="Cambria" w:eastAsia="Cambria"/>
                <w:sz w:val="16"/>
              </w:rPr>
              <w:t>Rolling structural fits / defaults</w:t>
            </w:r>
          </w:p>
        </w:tc>
        <w:tc>
          <w:tcPr>
            <w:tcW w:type="dxa" w:w="5760"/>
            <w:shd w:fill="F2F2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center"/>
          </w:tcPr>
          <w:p>
            <w:pPr>
              <w:spacing w:after="0"/>
              <w:jc w:val="left"/>
            </w:pPr>
            <w:r>
              <w:rPr>
                <w:rFonts w:ascii="Cambria" w:hAnsi="Cambria" w:eastAsia="Cambria"/>
                <w:sz w:val="16"/>
              </w:rPr>
              <w:t>261 / 32</w:t>
            </w:r>
          </w:p>
        </w:tc>
      </w:tr>
      <w:tr>
        <w:trPr>
          <w:cantSplit/>
        </w:trPr>
        <w:tc>
          <w:tcPr>
            <w:tcW w:type="dxa" w:w="3816"/>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center"/>
          </w:tcPr>
          <w:p>
            <w:pPr>
              <w:spacing w:after="0"/>
              <w:jc w:val="left"/>
            </w:pPr>
            <w:r>
              <w:rPr>
                <w:rFonts w:ascii="Cambria" w:hAnsi="Cambria" w:eastAsia="Cambria"/>
                <w:sz w:val="16"/>
              </w:rPr>
              <w:t>Median fit history</w:t>
            </w:r>
          </w:p>
        </w:tc>
        <w:tc>
          <w:tcPr>
            <w:tcW w:type="dxa" w:w="5760"/>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center"/>
          </w:tcPr>
          <w:p>
            <w:pPr>
              <w:spacing w:after="0"/>
              <w:jc w:val="left"/>
            </w:pPr>
            <w:r>
              <w:rPr>
                <w:rFonts w:ascii="Cambria" w:hAnsi="Cambria" w:eastAsia="Cambria"/>
                <w:sz w:val="16"/>
              </w:rPr>
              <w:t>28 prior events</w:t>
            </w:r>
          </w:p>
        </w:tc>
      </w:tr>
      <w:tr>
        <w:trPr>
          <w:cantSplit/>
        </w:trPr>
        <w:tc>
          <w:tcPr>
            <w:tcW w:type="dxa" w:w="3816"/>
            <w:shd w:fill="F2F2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center"/>
          </w:tcPr>
          <w:p>
            <w:pPr>
              <w:spacing w:after="0"/>
              <w:jc w:val="left"/>
            </w:pPr>
            <w:r>
              <w:rPr>
                <w:rFonts w:ascii="Cambria" w:hAnsi="Cambria" w:eastAsia="Cambria"/>
                <w:sz w:val="16"/>
              </w:rPr>
              <w:t>Median p_hat / q_hat</w:t>
            </w:r>
          </w:p>
        </w:tc>
        <w:tc>
          <w:tcPr>
            <w:tcW w:type="dxa" w:w="5760"/>
            <w:shd w:fill="F2F2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center"/>
          </w:tcPr>
          <w:p>
            <w:pPr>
              <w:spacing w:after="0"/>
              <w:jc w:val="left"/>
            </w:pPr>
            <w:r>
              <w:rPr>
                <w:rFonts w:ascii="Cambria" w:hAnsi="Cambria" w:eastAsia="Cambria"/>
                <w:sz w:val="16"/>
              </w:rPr>
              <w:t>0.30 / 0.10</w:t>
            </w:r>
          </w:p>
        </w:tc>
      </w:tr>
      <w:tr>
        <w:trPr>
          <w:cantSplit/>
        </w:trPr>
        <w:tc>
          <w:tcPr>
            <w:tcW w:type="dxa" w:w="3816"/>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center"/>
          </w:tcPr>
          <w:p>
            <w:pPr>
              <w:spacing w:after="0"/>
              <w:jc w:val="left"/>
            </w:pPr>
            <w:r>
              <w:rPr>
                <w:rFonts w:ascii="Cambria" w:hAnsi="Cambria" w:eastAsia="Cambria"/>
                <w:sz w:val="16"/>
              </w:rPr>
              <w:t>Median positive share of active holders</w:t>
            </w:r>
          </w:p>
        </w:tc>
        <w:tc>
          <w:tcPr>
            <w:tcW w:type="dxa" w:w="5760"/>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center"/>
          </w:tcPr>
          <w:p>
            <w:pPr>
              <w:spacing w:after="0"/>
              <w:jc w:val="left"/>
            </w:pPr>
            <w:r>
              <w:rPr>
                <w:rFonts w:ascii="Cambria" w:hAnsi="Cambria" w:eastAsia="Cambria"/>
                <w:sz w:val="16"/>
              </w:rPr>
              <w:t>10.1%</w:t>
            </w:r>
          </w:p>
        </w:tc>
      </w:tr>
      <w:tr>
        <w:trPr>
          <w:cantSplit/>
        </w:trPr>
        <w:tc>
          <w:tcPr>
            <w:tcW w:type="dxa" w:w="3816"/>
            <w:shd w:fill="F2F2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center"/>
          </w:tcPr>
          <w:p>
            <w:pPr>
              <w:spacing w:after="0"/>
              <w:jc w:val="left"/>
            </w:pPr>
            <w:r>
              <w:rPr>
                <w:rFonts w:ascii="Cambria" w:hAnsi="Cambria" w:eastAsia="Cambria"/>
                <w:sz w:val="16"/>
              </w:rPr>
              <w:t>Observed-demand comparison</w:t>
            </w:r>
          </w:p>
        </w:tc>
        <w:tc>
          <w:tcPr>
            <w:tcW w:type="dxa" w:w="5760"/>
            <w:shd w:fill="F2F2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center"/>
          </w:tcPr>
          <w:p>
            <w:pPr>
              <w:spacing w:after="0"/>
              <w:jc w:val="left"/>
            </w:pPr>
            <w:r>
              <w:rPr>
                <w:rFonts w:ascii="Cambria" w:hAnsi="Cambria" w:eastAsia="Cambria"/>
                <w:sz w:val="16"/>
              </w:rPr>
              <w:t>46 covered; MAE 32.1 percentage points; correlation -0.013</w:t>
            </w:r>
          </w:p>
        </w:tc>
      </w:tr>
    </w:tbl>
    <w:p>
      <w:pPr>
        <w:spacing w:after="0"/>
      </w:pPr>
    </w:p>
    <w:p>
      <w:pPr>
        <w:pStyle w:val="BodyText"/>
        <w:jc w:val="both"/>
      </w:pPr>
      <w:r>
        <w:t>The weak demand correlation is reported rather than hidden. Stage 7 is not used as a standalone forecast of realized cash demand. Its role is to translate holder composition into plausible share supply, noisy buying, and self-impact limits for sizing.</w:t>
      </w:r>
    </w:p>
    <w:p>
      <w:pPr>
        <w:pStyle w:val="Heading3"/>
        <w:keepNext/>
      </w:pPr>
      <w:r>
        <w:t>6.2 Stage 8 Capacity and Self-Impact</w:t>
      </w:r>
    </w:p>
    <w:p>
      <w:pPr>
        <w:pStyle w:val="BodyText"/>
        <w:jc w:val="both"/>
      </w:pPr>
      <w:r>
        <w:t>ENTER capacity is the minimum of available seller supply, ADV participation, position limits, and the largest size that still passes the risk gates after our own election shifts aggregate demand. REVERSE capacity is constrained by borrowable or inactive-holder supply, ADV, position limits, and noisy buyer demand. Because a target short has no election right, its completion liability remains the passive blended value; demand changes the feasible flow, not the settlement formula.</w:t>
      </w:r>
    </w:p>
    <w:tbl>
      <w:tblPr>
        <w:tblW w:type="auto" w:w="0"/>
        <w:jc w:val="center"/>
        <w:tblLayout w:type="fixed"/>
        <w:tblLook w:firstColumn="1" w:firstRow="1" w:lastColumn="0" w:lastRow="0" w:noHBand="0" w:noVBand="1" w:val="04A0"/>
      </w:tblPr>
      <w:tblGrid>
        <w:gridCol w:w="4939"/>
        <w:gridCol w:w="4939"/>
      </w:tblGrid>
      <w:tr>
        <w:trPr>
          <w:tblHeader w:val="true"/>
          <w:tblHeader w:val="true"/>
        </w:trPr>
        <w:tc>
          <w:tcPr>
            <w:tcW w:type="dxa" w:w="4608"/>
            <w:shd w:fill="0F4761"/>
            <w:tcBorders>
              <w:top w:val="single" w:sz="3" w:space="0" w:color="FFFFFF"/>
              <w:left w:val="single" w:sz="3" w:space="0" w:color="FFFFFF"/>
              <w:bottom w:val="single" w:sz="3" w:space="0" w:color="FFFFFF"/>
              <w:right w:val="single" w:sz="3" w:space="0" w:color="FFFFFF"/>
              <w:insideH w:val="single" w:sz="3" w:space="0" w:color="FFFFFF"/>
              <w:insideV w:val="single" w:sz="3" w:space="0" w:color="FFFFFF"/>
            </w:tcBorders>
            <w:tcMar>
              <w:top w:w="70" w:type="dxa"/>
              <w:start w:w="90" w:type="dxa"/>
              <w:bottom w:w="70" w:type="dxa"/>
              <w:end w:w="90" w:type="dxa"/>
            </w:tcMar>
            <w:vAlign w:val="center"/>
          </w:tcPr>
          <w:p>
            <w:pPr>
              <w:spacing w:after="0"/>
              <w:jc w:val="center"/>
            </w:pPr>
            <w:r>
              <w:rPr>
                <w:rFonts w:ascii="Aptos" w:hAnsi="Aptos" w:eastAsia="Aptos"/>
                <w:b/>
                <w:color w:val="FFFFFF"/>
                <w:sz w:val="16"/>
              </w:rPr>
              <w:t>Capacity output</w:t>
            </w:r>
          </w:p>
        </w:tc>
        <w:tc>
          <w:tcPr>
            <w:tcW w:type="dxa" w:w="4968"/>
            <w:shd w:fill="0F4761"/>
            <w:tcBorders>
              <w:top w:val="single" w:sz="3" w:space="0" w:color="FFFFFF"/>
              <w:left w:val="single" w:sz="3" w:space="0" w:color="FFFFFF"/>
              <w:bottom w:val="single" w:sz="3" w:space="0" w:color="FFFFFF"/>
              <w:right w:val="single" w:sz="3" w:space="0" w:color="FFFFFF"/>
              <w:insideH w:val="single" w:sz="3" w:space="0" w:color="FFFFFF"/>
              <w:insideV w:val="single" w:sz="3" w:space="0" w:color="FFFFFF"/>
            </w:tcBorders>
            <w:tcMar>
              <w:top w:w="70" w:type="dxa"/>
              <w:start w:w="90" w:type="dxa"/>
              <w:bottom w:w="70" w:type="dxa"/>
              <w:end w:w="90" w:type="dxa"/>
            </w:tcMar>
            <w:vAlign w:val="center"/>
          </w:tcPr>
          <w:p>
            <w:pPr>
              <w:spacing w:after="0"/>
              <w:jc w:val="center"/>
            </w:pPr>
            <w:r>
              <w:rPr>
                <w:rFonts w:ascii="Aptos" w:hAnsi="Aptos" w:eastAsia="Aptos"/>
                <w:b/>
                <w:color w:val="FFFFFF"/>
                <w:sz w:val="16"/>
              </w:rPr>
              <w:t>Current result</w:t>
            </w:r>
          </w:p>
        </w:tc>
      </w:tr>
      <w:tr>
        <w:trPr>
          <w:cantSplit/>
        </w:trPr>
        <w:tc>
          <w:tcPr>
            <w:tcW w:type="dxa" w:w="4608"/>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center"/>
          </w:tcPr>
          <w:p>
            <w:pPr>
              <w:spacing w:after="0"/>
              <w:jc w:val="left"/>
            </w:pPr>
            <w:r>
              <w:rPr>
                <w:rFonts w:ascii="Cambria" w:hAnsi="Cambria" w:eastAsia="Cambria"/>
                <w:sz w:val="16"/>
              </w:rPr>
              <w:t>Trades with feasible capacity</w:t>
            </w:r>
          </w:p>
        </w:tc>
        <w:tc>
          <w:tcPr>
            <w:tcW w:type="dxa" w:w="4968"/>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center"/>
          </w:tcPr>
          <w:p>
            <w:pPr>
              <w:spacing w:after="0"/>
              <w:jc w:val="left"/>
            </w:pPr>
            <w:r>
              <w:rPr>
                <w:rFonts w:ascii="Cambria" w:hAnsi="Cambria" w:eastAsia="Cambria"/>
                <w:sz w:val="16"/>
              </w:rPr>
              <w:t>20 / 20</w:t>
            </w:r>
          </w:p>
        </w:tc>
      </w:tr>
      <w:tr>
        <w:trPr>
          <w:cantSplit/>
        </w:trPr>
        <w:tc>
          <w:tcPr>
            <w:tcW w:type="dxa" w:w="4608"/>
            <w:shd w:fill="F2F2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center"/>
          </w:tcPr>
          <w:p>
            <w:pPr>
              <w:spacing w:after="0"/>
              <w:jc w:val="left"/>
            </w:pPr>
            <w:r>
              <w:rPr>
                <w:rFonts w:ascii="Cambria" w:hAnsi="Cambria" w:eastAsia="Cambria"/>
                <w:sz w:val="16"/>
              </w:rPr>
              <w:t>Total optimal target-leg notional</w:t>
            </w:r>
          </w:p>
        </w:tc>
        <w:tc>
          <w:tcPr>
            <w:tcW w:type="dxa" w:w="4968"/>
            <w:shd w:fill="F2F2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center"/>
          </w:tcPr>
          <w:p>
            <w:pPr>
              <w:spacing w:after="0"/>
              <w:jc w:val="left"/>
            </w:pPr>
            <w:r>
              <w:rPr>
                <w:rFonts w:ascii="Cambria" w:hAnsi="Cambria" w:eastAsia="Cambria"/>
                <w:sz w:val="16"/>
              </w:rPr>
              <w:t>$621.4m</w:t>
            </w:r>
          </w:p>
        </w:tc>
      </w:tr>
      <w:tr>
        <w:trPr>
          <w:cantSplit/>
        </w:trPr>
        <w:tc>
          <w:tcPr>
            <w:tcW w:type="dxa" w:w="4608"/>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center"/>
          </w:tcPr>
          <w:p>
            <w:pPr>
              <w:spacing w:after="0"/>
              <w:jc w:val="left"/>
            </w:pPr>
            <w:r>
              <w:rPr>
                <w:rFonts w:ascii="Cambria" w:hAnsi="Cambria" w:eastAsia="Cambria"/>
                <w:sz w:val="16"/>
              </w:rPr>
              <w:t>Expected P&amp;L at optimal size</w:t>
            </w:r>
          </w:p>
        </w:tc>
        <w:tc>
          <w:tcPr>
            <w:tcW w:type="dxa" w:w="4968"/>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center"/>
          </w:tcPr>
          <w:p>
            <w:pPr>
              <w:spacing w:after="0"/>
              <w:jc w:val="left"/>
            </w:pPr>
            <w:r>
              <w:rPr>
                <w:rFonts w:ascii="Cambria" w:hAnsi="Cambria" w:eastAsia="Cambria"/>
                <w:sz w:val="16"/>
              </w:rPr>
              <w:t>$39.9m</w:t>
            </w:r>
          </w:p>
        </w:tc>
      </w:tr>
      <w:tr>
        <w:trPr>
          <w:cantSplit/>
        </w:trPr>
        <w:tc>
          <w:tcPr>
            <w:tcW w:type="dxa" w:w="4608"/>
            <w:shd w:fill="F2F2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center"/>
          </w:tcPr>
          <w:p>
            <w:pPr>
              <w:spacing w:after="0"/>
              <w:jc w:val="left"/>
            </w:pPr>
            <w:r>
              <w:rPr>
                <w:rFonts w:ascii="Cambria" w:hAnsi="Cambria" w:eastAsia="Cambria"/>
                <w:sz w:val="16"/>
              </w:rPr>
              <w:t>Notional-weighted expected return</w:t>
            </w:r>
          </w:p>
        </w:tc>
        <w:tc>
          <w:tcPr>
            <w:tcW w:type="dxa" w:w="4968"/>
            <w:shd w:fill="F2F2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center"/>
          </w:tcPr>
          <w:p>
            <w:pPr>
              <w:spacing w:after="0"/>
              <w:jc w:val="left"/>
            </w:pPr>
            <w:r>
              <w:rPr>
                <w:rFonts w:ascii="Cambria" w:hAnsi="Cambria" w:eastAsia="Cambria"/>
                <w:sz w:val="16"/>
              </w:rPr>
              <w:t>6.42%</w:t>
            </w:r>
          </w:p>
        </w:tc>
      </w:tr>
      <w:tr>
        <w:trPr>
          <w:cantSplit/>
        </w:trPr>
        <w:tc>
          <w:tcPr>
            <w:tcW w:type="dxa" w:w="4608"/>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center"/>
          </w:tcPr>
          <w:p>
            <w:pPr>
              <w:spacing w:after="0"/>
              <w:jc w:val="left"/>
            </w:pPr>
            <w:r>
              <w:rPr>
                <w:rFonts w:ascii="Cambria" w:hAnsi="Cambria" w:eastAsia="Cambria"/>
                <w:sz w:val="16"/>
              </w:rPr>
              <w:t>Median optimal notional</w:t>
            </w:r>
          </w:p>
        </w:tc>
        <w:tc>
          <w:tcPr>
            <w:tcW w:type="dxa" w:w="4968"/>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center"/>
          </w:tcPr>
          <w:p>
            <w:pPr>
              <w:spacing w:after="0"/>
              <w:jc w:val="left"/>
            </w:pPr>
            <w:r>
              <w:rPr>
                <w:rFonts w:ascii="Cambria" w:hAnsi="Cambria" w:eastAsia="Cambria"/>
                <w:sz w:val="16"/>
              </w:rPr>
              <w:t>$17.85m</w:t>
            </w:r>
          </w:p>
        </w:tc>
      </w:tr>
      <w:tr>
        <w:trPr>
          <w:cantSplit/>
        </w:trPr>
        <w:tc>
          <w:tcPr>
            <w:tcW w:type="dxa" w:w="4608"/>
            <w:shd w:fill="F2F2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center"/>
          </w:tcPr>
          <w:p>
            <w:pPr>
              <w:spacing w:after="0"/>
              <w:jc w:val="left"/>
            </w:pPr>
            <w:r>
              <w:rPr>
                <w:rFonts w:ascii="Cambria" w:hAnsi="Cambria" w:eastAsia="Cambria"/>
                <w:sz w:val="16"/>
              </w:rPr>
              <w:t>Median target shares outstanding</w:t>
            </w:r>
          </w:p>
        </w:tc>
        <w:tc>
          <w:tcPr>
            <w:tcW w:type="dxa" w:w="4968"/>
            <w:shd w:fill="F2F2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center"/>
          </w:tcPr>
          <w:p>
            <w:pPr>
              <w:spacing w:after="0"/>
              <w:jc w:val="left"/>
            </w:pPr>
            <w:r>
              <w:rPr>
                <w:rFonts w:ascii="Cambria" w:hAnsi="Cambria" w:eastAsia="Cambria"/>
                <w:sz w:val="16"/>
              </w:rPr>
              <w:t>0.7409%</w:t>
            </w:r>
          </w:p>
        </w:tc>
      </w:tr>
      <w:tr>
        <w:trPr>
          <w:cantSplit/>
        </w:trPr>
        <w:tc>
          <w:tcPr>
            <w:tcW w:type="dxa" w:w="4608"/>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center"/>
          </w:tcPr>
          <w:p>
            <w:pPr>
              <w:spacing w:after="0"/>
              <w:jc w:val="left"/>
            </w:pPr>
            <w:r>
              <w:rPr>
                <w:rFonts w:ascii="Cambria" w:hAnsi="Cambria" w:eastAsia="Cambria"/>
                <w:sz w:val="16"/>
              </w:rPr>
              <w:t>Binding constraint</w:t>
            </w:r>
          </w:p>
        </w:tc>
        <w:tc>
          <w:tcPr>
            <w:tcW w:type="dxa" w:w="4968"/>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center"/>
          </w:tcPr>
          <w:p>
            <w:pPr>
              <w:spacing w:after="0"/>
              <w:jc w:val="left"/>
            </w:pPr>
            <w:r>
              <w:rPr>
                <w:rFonts w:ascii="Cambria" w:hAnsi="Cambria" w:eastAsia="Cambria"/>
                <w:sz w:val="16"/>
              </w:rPr>
              <w:t>10 source-supply ENTER; 10 noisy-buyer-demand REVERSE</w:t>
            </w:r>
          </w:p>
        </w:tc>
      </w:tr>
      <w:tr>
        <w:trPr>
          <w:cantSplit/>
        </w:trPr>
        <w:tc>
          <w:tcPr>
            <w:tcW w:type="dxa" w:w="4608"/>
            <w:shd w:fill="F2F2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center"/>
          </w:tcPr>
          <w:p>
            <w:pPr>
              <w:spacing w:after="0"/>
              <w:jc w:val="left"/>
            </w:pPr>
            <w:r>
              <w:rPr>
                <w:rFonts w:ascii="Cambria" w:hAnsi="Cambria" w:eastAsia="Cambria"/>
                <w:sz w:val="16"/>
              </w:rPr>
              <w:t>ENTER self-impact break-even</w:t>
            </w:r>
          </w:p>
        </w:tc>
        <w:tc>
          <w:tcPr>
            <w:tcW w:type="dxa" w:w="4968"/>
            <w:shd w:fill="F2F2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center"/>
          </w:tcPr>
          <w:p>
            <w:pPr>
              <w:spacing w:after="0"/>
              <w:jc w:val="left"/>
            </w:pPr>
            <w:r>
              <w:rPr>
                <w:rFonts w:ascii="Cambria" w:hAnsi="Cambria" w:eastAsia="Cambria"/>
                <w:sz w:val="16"/>
              </w:rPr>
              <w:t>Four finite cases; median 44.25% of target shares</w:t>
            </w:r>
          </w:p>
        </w:tc>
      </w:tr>
    </w:tbl>
    <w:p>
      <w:pPr>
        <w:spacing w:after="0"/>
      </w:pPr>
    </w:p>
    <w:tbl>
      <w:tblPr>
        <w:tblW w:type="auto" w:w="0"/>
        <w:jc w:val="center"/>
        <w:tblLayout w:type="autofit"/>
        <w:tblLook w:firstColumn="1" w:firstRow="1" w:lastColumn="0" w:lastRow="0" w:noHBand="0" w:noVBand="1" w:val="04A0"/>
      </w:tblPr>
      <w:tblGrid>
        <w:gridCol w:w="9878"/>
      </w:tblGrid>
      <w:tr>
        <w:tc>
          <w:tcPr>
            <w:tcW w:type="dxa" w:w="9878"/>
            <w:shd w:fill="EDF4F8"/>
            <w:tcBorders>
              <w:top w:val="single" w:sz="5" w:space="0" w:color="9FBAD0"/>
              <w:left w:val="single" w:sz="5" w:space="0" w:color="9FBAD0"/>
              <w:bottom w:val="single" w:sz="5" w:space="0" w:color="9FBAD0"/>
              <w:right w:val="single" w:sz="5" w:space="0" w:color="9FBAD0"/>
              <w:insideH w:val="single" w:sz="5" w:space="0" w:color="9FBAD0"/>
              <w:insideV w:val="single" w:sz="5" w:space="0" w:color="9FBAD0"/>
            </w:tcBorders>
            <w:tcMar>
              <w:top w:w="100" w:type="dxa"/>
              <w:start w:w="130" w:type="dxa"/>
              <w:bottom w:w="100" w:type="dxa"/>
              <w:end w:w="130" w:type="dxa"/>
            </w:tcMar>
          </w:tcPr>
          <w:p>
            <w:pPr>
              <w:spacing w:after="0"/>
            </w:pPr>
            <w:r>
              <w:rPr>
                <w:rFonts w:ascii="Cambria" w:hAnsi="Cambria" w:eastAsia="Cambria"/>
                <w:b/>
                <w:color w:val="0F4761"/>
                <w:sz w:val="20"/>
              </w:rPr>
              <w:t xml:space="preserve">Metric distinction. </w:t>
            </w:r>
            <w:r>
              <w:rPr>
                <w:rFonts w:ascii="Cambria" w:hAnsi="Cambria" w:eastAsia="Cambria"/>
                <w:sz w:val="20"/>
              </w:rPr>
              <w:t>$39.9m ÷ $621.4m = 6.42% is the cross-sectional expected return on the twenty opportunities at their selected capacities. It is not the cumulative historical strategy return reported in Stage 10.</w:t>
            </w:r>
          </w:p>
        </w:tc>
      </w:tr>
    </w:tbl>
    <w:p>
      <w:pPr>
        <w:spacing w:after="0"/>
      </w:pPr>
    </w:p>
    <w:p>
      <w:r>
        <w:br w:type="page"/>
      </w:r>
    </w:p>
    <w:p>
      <w:pPr>
        <w:pStyle w:val="Heading2"/>
        <w:keepNext/>
      </w:pPr>
      <w:r>
        <w:t>7. Stage 9 — Realized Settlement Validation</w:t>
      </w:r>
    </w:p>
    <w:p>
      <w:pPr>
        <w:pStyle w:val="FirstParagraph"/>
        <w:jc w:val="both"/>
      </w:pPr>
      <w:r>
        <w:t>Settlement validation asks whether the terminal payoff implied by the strategy can be reconstructed from the observed completed deal. Six ENTER trades have realized f_cash and can be repriced through the election engine. All ten REVERSE trades can be validated against passive blended completion settlement because the target short has no election right. The remaining four ENTER trades lack realized election demand and are excluded from direct payoff validation, leaving 16 of 20 covered.</w:t>
      </w:r>
    </w:p>
    <w:tbl>
      <w:tblPr>
        <w:tblW w:type="auto" w:w="0"/>
        <w:jc w:val="center"/>
        <w:tblLayout w:type="fixed"/>
        <w:tblLook w:firstColumn="1" w:firstRow="1" w:lastColumn="0" w:lastRow="0" w:noHBand="0" w:noVBand="1" w:val="04A0"/>
      </w:tblPr>
      <w:tblGrid>
        <w:gridCol w:w="4939"/>
        <w:gridCol w:w="4939"/>
      </w:tblGrid>
      <w:tr>
        <w:trPr>
          <w:tblHeader w:val="true"/>
          <w:tblHeader w:val="true"/>
        </w:trPr>
        <w:tc>
          <w:tcPr>
            <w:tcW w:type="dxa" w:w="5112"/>
            <w:shd w:fill="0F4761"/>
            <w:tcBorders>
              <w:top w:val="single" w:sz="3" w:space="0" w:color="FFFFFF"/>
              <w:left w:val="single" w:sz="3" w:space="0" w:color="FFFFFF"/>
              <w:bottom w:val="single" w:sz="3" w:space="0" w:color="FFFFFF"/>
              <w:right w:val="single" w:sz="3" w:space="0" w:color="FFFFFF"/>
              <w:insideH w:val="single" w:sz="3" w:space="0" w:color="FFFFFF"/>
              <w:insideV w:val="single" w:sz="3" w:space="0" w:color="FFFFFF"/>
            </w:tcBorders>
            <w:tcMar>
              <w:top w:w="70" w:type="dxa"/>
              <w:start w:w="90" w:type="dxa"/>
              <w:bottom w:w="70" w:type="dxa"/>
              <w:end w:w="90" w:type="dxa"/>
            </w:tcMar>
            <w:vAlign w:val="center"/>
          </w:tcPr>
          <w:p>
            <w:pPr>
              <w:spacing w:after="0"/>
              <w:jc w:val="center"/>
            </w:pPr>
            <w:r>
              <w:rPr>
                <w:rFonts w:ascii="Aptos" w:hAnsi="Aptos" w:eastAsia="Aptos"/>
                <w:b/>
                <w:color w:val="FFFFFF"/>
                <w:sz w:val="17"/>
              </w:rPr>
              <w:t>Validation metric</w:t>
            </w:r>
          </w:p>
        </w:tc>
        <w:tc>
          <w:tcPr>
            <w:tcW w:type="dxa" w:w="4464"/>
            <w:shd w:fill="0F4761"/>
            <w:tcBorders>
              <w:top w:val="single" w:sz="3" w:space="0" w:color="FFFFFF"/>
              <w:left w:val="single" w:sz="3" w:space="0" w:color="FFFFFF"/>
              <w:bottom w:val="single" w:sz="3" w:space="0" w:color="FFFFFF"/>
              <w:right w:val="single" w:sz="3" w:space="0" w:color="FFFFFF"/>
              <w:insideH w:val="single" w:sz="3" w:space="0" w:color="FFFFFF"/>
              <w:insideV w:val="single" w:sz="3" w:space="0" w:color="FFFFFF"/>
            </w:tcBorders>
            <w:tcMar>
              <w:top w:w="70" w:type="dxa"/>
              <w:start w:w="90" w:type="dxa"/>
              <w:bottom w:w="70" w:type="dxa"/>
              <w:end w:w="90" w:type="dxa"/>
            </w:tcMar>
            <w:vAlign w:val="center"/>
          </w:tcPr>
          <w:p>
            <w:pPr>
              <w:spacing w:after="0"/>
              <w:jc w:val="center"/>
            </w:pPr>
            <w:r>
              <w:rPr>
                <w:rFonts w:ascii="Aptos" w:hAnsi="Aptos" w:eastAsia="Aptos"/>
                <w:b/>
                <w:color w:val="FFFFFF"/>
                <w:sz w:val="17"/>
              </w:rPr>
              <w:t>Current result</w:t>
            </w:r>
          </w:p>
        </w:tc>
      </w:tr>
      <w:tr>
        <w:trPr>
          <w:cantSplit/>
        </w:trPr>
        <w:tc>
          <w:tcPr>
            <w:tcW w:type="dxa" w:w="5112"/>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center"/>
          </w:tcPr>
          <w:p>
            <w:pPr>
              <w:spacing w:after="0"/>
              <w:jc w:val="left"/>
            </w:pPr>
            <w:r>
              <w:rPr>
                <w:rFonts w:ascii="Cambria" w:hAnsi="Cambria" w:eastAsia="Cambria"/>
                <w:sz w:val="17"/>
              </w:rPr>
              <w:t>Covered trades</w:t>
            </w:r>
          </w:p>
        </w:tc>
        <w:tc>
          <w:tcPr>
            <w:tcW w:type="dxa" w:w="4464"/>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center"/>
          </w:tcPr>
          <w:p>
            <w:pPr>
              <w:spacing w:after="0"/>
              <w:jc w:val="left"/>
            </w:pPr>
            <w:r>
              <w:rPr>
                <w:rFonts w:ascii="Cambria" w:hAnsi="Cambria" w:eastAsia="Cambria"/>
                <w:sz w:val="17"/>
              </w:rPr>
              <w:t>16</w:t>
            </w:r>
          </w:p>
        </w:tc>
      </w:tr>
      <w:tr>
        <w:trPr>
          <w:cantSplit/>
        </w:trPr>
        <w:tc>
          <w:tcPr>
            <w:tcW w:type="dxa" w:w="5112"/>
            <w:shd w:fill="F2F2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center"/>
          </w:tcPr>
          <w:p>
            <w:pPr>
              <w:spacing w:after="0"/>
              <w:jc w:val="left"/>
            </w:pPr>
            <w:r>
              <w:rPr>
                <w:rFonts w:ascii="Cambria" w:hAnsi="Cambria" w:eastAsia="Cambria"/>
                <w:sz w:val="17"/>
              </w:rPr>
              <w:t>Capacity-covered notional</w:t>
            </w:r>
          </w:p>
        </w:tc>
        <w:tc>
          <w:tcPr>
            <w:tcW w:type="dxa" w:w="4464"/>
            <w:shd w:fill="F2F2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center"/>
          </w:tcPr>
          <w:p>
            <w:pPr>
              <w:spacing w:after="0"/>
              <w:jc w:val="left"/>
            </w:pPr>
            <w:r>
              <w:rPr>
                <w:rFonts w:ascii="Cambria" w:hAnsi="Cambria" w:eastAsia="Cambria"/>
                <w:sz w:val="17"/>
              </w:rPr>
              <w:t>$575.84m</w:t>
            </w:r>
          </w:p>
        </w:tc>
      </w:tr>
      <w:tr>
        <w:trPr>
          <w:cantSplit/>
        </w:trPr>
        <w:tc>
          <w:tcPr>
            <w:tcW w:type="dxa" w:w="5112"/>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center"/>
          </w:tcPr>
          <w:p>
            <w:pPr>
              <w:spacing w:after="0"/>
              <w:jc w:val="left"/>
            </w:pPr>
            <w:r>
              <w:rPr>
                <w:rFonts w:ascii="Cambria" w:hAnsi="Cambria" w:eastAsia="Cambria"/>
                <w:sz w:val="17"/>
              </w:rPr>
              <w:t>Realized self-impact P&amp;L</w:t>
            </w:r>
          </w:p>
        </w:tc>
        <w:tc>
          <w:tcPr>
            <w:tcW w:type="dxa" w:w="4464"/>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center"/>
          </w:tcPr>
          <w:p>
            <w:pPr>
              <w:spacing w:after="0"/>
              <w:jc w:val="left"/>
            </w:pPr>
            <w:r>
              <w:rPr>
                <w:rFonts w:ascii="Cambria" w:hAnsi="Cambria" w:eastAsia="Cambria"/>
                <w:sz w:val="17"/>
              </w:rPr>
              <w:t>$16.96m</w:t>
            </w:r>
          </w:p>
        </w:tc>
      </w:tr>
      <w:tr>
        <w:trPr>
          <w:cantSplit/>
        </w:trPr>
        <w:tc>
          <w:tcPr>
            <w:tcW w:type="dxa" w:w="5112"/>
            <w:shd w:fill="F2F2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center"/>
          </w:tcPr>
          <w:p>
            <w:pPr>
              <w:spacing w:after="0"/>
              <w:jc w:val="left"/>
            </w:pPr>
            <w:r>
              <w:rPr>
                <w:rFonts w:ascii="Cambria" w:hAnsi="Cambria" w:eastAsia="Cambria"/>
                <w:sz w:val="17"/>
              </w:rPr>
              <w:t>Realized return on deployed notional</w:t>
            </w:r>
          </w:p>
        </w:tc>
        <w:tc>
          <w:tcPr>
            <w:tcW w:type="dxa" w:w="4464"/>
            <w:shd w:fill="F2F2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center"/>
          </w:tcPr>
          <w:p>
            <w:pPr>
              <w:spacing w:after="0"/>
              <w:jc w:val="left"/>
            </w:pPr>
            <w:r>
              <w:rPr>
                <w:rFonts w:ascii="Cambria" w:hAnsi="Cambria" w:eastAsia="Cambria"/>
                <w:sz w:val="17"/>
              </w:rPr>
              <w:t>2.945%</w:t>
            </w:r>
          </w:p>
        </w:tc>
      </w:tr>
      <w:tr>
        <w:trPr>
          <w:cantSplit/>
        </w:trPr>
        <w:tc>
          <w:tcPr>
            <w:tcW w:type="dxa" w:w="5112"/>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center"/>
          </w:tcPr>
          <w:p>
            <w:pPr>
              <w:spacing w:after="0"/>
              <w:jc w:val="left"/>
            </w:pPr>
            <w:r>
              <w:rPr>
                <w:rFonts w:ascii="Cambria" w:hAnsi="Cambria" w:eastAsia="Cambria"/>
                <w:sz w:val="17"/>
              </w:rPr>
              <w:t>Expected vs realized correlation</w:t>
            </w:r>
          </w:p>
        </w:tc>
        <w:tc>
          <w:tcPr>
            <w:tcW w:type="dxa" w:w="4464"/>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center"/>
          </w:tcPr>
          <w:p>
            <w:pPr>
              <w:spacing w:after="0"/>
              <w:jc w:val="left"/>
            </w:pPr>
            <w:r>
              <w:rPr>
                <w:rFonts w:ascii="Cambria" w:hAnsi="Cambria" w:eastAsia="Cambria"/>
                <w:sz w:val="17"/>
              </w:rPr>
              <w:t>0.778</w:t>
            </w:r>
          </w:p>
        </w:tc>
      </w:tr>
      <w:tr>
        <w:trPr>
          <w:cantSplit/>
        </w:trPr>
        <w:tc>
          <w:tcPr>
            <w:tcW w:type="dxa" w:w="5112"/>
            <w:shd w:fill="F2F2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center"/>
          </w:tcPr>
          <w:p>
            <w:pPr>
              <w:spacing w:after="0"/>
              <w:jc w:val="left"/>
            </w:pPr>
            <w:r>
              <w:rPr>
                <w:rFonts w:ascii="Cambria" w:hAnsi="Cambria" w:eastAsia="Cambria"/>
                <w:sz w:val="17"/>
              </w:rPr>
              <w:t>Positive final-payoff rate</w:t>
            </w:r>
          </w:p>
        </w:tc>
        <w:tc>
          <w:tcPr>
            <w:tcW w:type="dxa" w:w="4464"/>
            <w:shd w:fill="F2F2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center"/>
          </w:tcPr>
          <w:p>
            <w:pPr>
              <w:spacing w:after="0"/>
              <w:jc w:val="left"/>
            </w:pPr>
            <w:r>
              <w:rPr>
                <w:rFonts w:ascii="Cambria" w:hAnsi="Cambria" w:eastAsia="Cambria"/>
                <w:sz w:val="17"/>
              </w:rPr>
              <w:t>100%</w:t>
            </w:r>
          </w:p>
        </w:tc>
      </w:tr>
    </w:tbl>
    <w:p>
      <w:pPr>
        <w:spacing w:after="0"/>
      </w:pPr>
    </w:p>
    <w:tbl>
      <w:tblPr>
        <w:tblW w:type="auto" w:w="0"/>
        <w:jc w:val="center"/>
        <w:tblLayout w:type="fixed"/>
        <w:tblLook w:firstColumn="1" w:firstRow="1" w:lastColumn="0" w:lastRow="0" w:noHBand="0" w:noVBand="1" w:val="04A0"/>
      </w:tblPr>
      <w:tblGrid>
        <w:gridCol w:w="1411"/>
        <w:gridCol w:w="1411"/>
        <w:gridCol w:w="1411"/>
        <w:gridCol w:w="1411"/>
        <w:gridCol w:w="1411"/>
        <w:gridCol w:w="1411"/>
        <w:gridCol w:w="1411"/>
      </w:tblGrid>
      <w:tr>
        <w:trPr>
          <w:tblHeader w:val="true"/>
          <w:tblHeader w:val="true"/>
        </w:trPr>
        <w:tc>
          <w:tcPr>
            <w:tcW w:type="dxa" w:w="1944"/>
            <w:shd w:fill="0F4761"/>
            <w:tcBorders>
              <w:top w:val="single" w:sz="3" w:space="0" w:color="FFFFFF"/>
              <w:left w:val="single" w:sz="3" w:space="0" w:color="FFFFFF"/>
              <w:bottom w:val="single" w:sz="3" w:space="0" w:color="FFFFFF"/>
              <w:right w:val="single" w:sz="3" w:space="0" w:color="FFFFFF"/>
              <w:insideH w:val="single" w:sz="3" w:space="0" w:color="FFFFFF"/>
              <w:insideV w:val="single" w:sz="3" w:space="0" w:color="FFFFFF"/>
            </w:tcBorders>
            <w:tcMar>
              <w:top w:w="70" w:type="dxa"/>
              <w:start w:w="90" w:type="dxa"/>
              <w:bottom w:w="70" w:type="dxa"/>
              <w:end w:w="90" w:type="dxa"/>
            </w:tcMar>
            <w:vAlign w:val="center"/>
          </w:tcPr>
          <w:p>
            <w:pPr>
              <w:spacing w:after="0"/>
              <w:jc w:val="center"/>
            </w:pPr>
            <w:r>
              <w:rPr>
                <w:rFonts w:ascii="Aptos" w:hAnsi="Aptos" w:eastAsia="Aptos"/>
                <w:b/>
                <w:color w:val="FFFFFF"/>
                <w:sz w:val="15"/>
              </w:rPr>
              <w:t>Sample</w:t>
            </w:r>
          </w:p>
        </w:tc>
        <w:tc>
          <w:tcPr>
            <w:tcW w:type="dxa" w:w="648"/>
            <w:shd w:fill="0F4761"/>
            <w:tcBorders>
              <w:top w:val="single" w:sz="3" w:space="0" w:color="FFFFFF"/>
              <w:left w:val="single" w:sz="3" w:space="0" w:color="FFFFFF"/>
              <w:bottom w:val="single" w:sz="3" w:space="0" w:color="FFFFFF"/>
              <w:right w:val="single" w:sz="3" w:space="0" w:color="FFFFFF"/>
              <w:insideH w:val="single" w:sz="3" w:space="0" w:color="FFFFFF"/>
              <w:insideV w:val="single" w:sz="3" w:space="0" w:color="FFFFFF"/>
            </w:tcBorders>
            <w:tcMar>
              <w:top w:w="70" w:type="dxa"/>
              <w:start w:w="90" w:type="dxa"/>
              <w:bottom w:w="70" w:type="dxa"/>
              <w:end w:w="90" w:type="dxa"/>
            </w:tcMar>
            <w:vAlign w:val="center"/>
          </w:tcPr>
          <w:p>
            <w:pPr>
              <w:spacing w:after="0"/>
              <w:jc w:val="center"/>
            </w:pPr>
            <w:r>
              <w:rPr>
                <w:rFonts w:ascii="Aptos" w:hAnsi="Aptos" w:eastAsia="Aptos"/>
                <w:b/>
                <w:color w:val="FFFFFF"/>
                <w:sz w:val="15"/>
              </w:rPr>
              <w:t>n</w:t>
            </w:r>
          </w:p>
        </w:tc>
        <w:tc>
          <w:tcPr>
            <w:tcW w:type="dxa" w:w="1152"/>
            <w:shd w:fill="0F4761"/>
            <w:tcBorders>
              <w:top w:val="single" w:sz="3" w:space="0" w:color="FFFFFF"/>
              <w:left w:val="single" w:sz="3" w:space="0" w:color="FFFFFF"/>
              <w:bottom w:val="single" w:sz="3" w:space="0" w:color="FFFFFF"/>
              <w:right w:val="single" w:sz="3" w:space="0" w:color="FFFFFF"/>
              <w:insideH w:val="single" w:sz="3" w:space="0" w:color="FFFFFF"/>
              <w:insideV w:val="single" w:sz="3" w:space="0" w:color="FFFFFF"/>
            </w:tcBorders>
            <w:tcMar>
              <w:top w:w="70" w:type="dxa"/>
              <w:start w:w="90" w:type="dxa"/>
              <w:bottom w:w="70" w:type="dxa"/>
              <w:end w:w="90" w:type="dxa"/>
            </w:tcMar>
            <w:vAlign w:val="center"/>
          </w:tcPr>
          <w:p>
            <w:pPr>
              <w:spacing w:after="0"/>
              <w:jc w:val="center"/>
            </w:pPr>
            <w:r>
              <w:rPr>
                <w:rFonts w:ascii="Aptos" w:hAnsi="Aptos" w:eastAsia="Aptos"/>
                <w:b/>
                <w:color w:val="FFFFFF"/>
                <w:sz w:val="15"/>
              </w:rPr>
              <w:t>Mean %</w:t>
            </w:r>
          </w:p>
        </w:tc>
        <w:tc>
          <w:tcPr>
            <w:tcW w:type="dxa" w:w="1152"/>
            <w:shd w:fill="0F4761"/>
            <w:tcBorders>
              <w:top w:val="single" w:sz="3" w:space="0" w:color="FFFFFF"/>
              <w:left w:val="single" w:sz="3" w:space="0" w:color="FFFFFF"/>
              <w:bottom w:val="single" w:sz="3" w:space="0" w:color="FFFFFF"/>
              <w:right w:val="single" w:sz="3" w:space="0" w:color="FFFFFF"/>
              <w:insideH w:val="single" w:sz="3" w:space="0" w:color="FFFFFF"/>
              <w:insideV w:val="single" w:sz="3" w:space="0" w:color="FFFFFF"/>
            </w:tcBorders>
            <w:tcMar>
              <w:top w:w="70" w:type="dxa"/>
              <w:start w:w="90" w:type="dxa"/>
              <w:bottom w:w="70" w:type="dxa"/>
              <w:end w:w="90" w:type="dxa"/>
            </w:tcMar>
            <w:vAlign w:val="center"/>
          </w:tcPr>
          <w:p>
            <w:pPr>
              <w:spacing w:after="0"/>
              <w:jc w:val="center"/>
            </w:pPr>
            <w:r>
              <w:rPr>
                <w:rFonts w:ascii="Aptos" w:hAnsi="Aptos" w:eastAsia="Aptos"/>
                <w:b/>
                <w:color w:val="FFFFFF"/>
                <w:sz w:val="15"/>
              </w:rPr>
              <w:t>Median %</w:t>
            </w:r>
          </w:p>
        </w:tc>
        <w:tc>
          <w:tcPr>
            <w:tcW w:type="dxa" w:w="1080"/>
            <w:shd w:fill="0F4761"/>
            <w:tcBorders>
              <w:top w:val="single" w:sz="3" w:space="0" w:color="FFFFFF"/>
              <w:left w:val="single" w:sz="3" w:space="0" w:color="FFFFFF"/>
              <w:bottom w:val="single" w:sz="3" w:space="0" w:color="FFFFFF"/>
              <w:right w:val="single" w:sz="3" w:space="0" w:color="FFFFFF"/>
              <w:insideH w:val="single" w:sz="3" w:space="0" w:color="FFFFFF"/>
              <w:insideV w:val="single" w:sz="3" w:space="0" w:color="FFFFFF"/>
            </w:tcBorders>
            <w:tcMar>
              <w:top w:w="70" w:type="dxa"/>
              <w:start w:w="90" w:type="dxa"/>
              <w:bottom w:w="70" w:type="dxa"/>
              <w:end w:w="90" w:type="dxa"/>
            </w:tcMar>
            <w:vAlign w:val="center"/>
          </w:tcPr>
          <w:p>
            <w:pPr>
              <w:spacing w:after="0"/>
              <w:jc w:val="center"/>
            </w:pPr>
            <w:r>
              <w:rPr>
                <w:rFonts w:ascii="Aptos" w:hAnsi="Aptos" w:eastAsia="Aptos"/>
                <w:b/>
                <w:color w:val="FFFFFF"/>
                <w:sz w:val="15"/>
              </w:rPr>
              <w:t>Std %</w:t>
            </w:r>
          </w:p>
        </w:tc>
        <w:tc>
          <w:tcPr>
            <w:tcW w:type="dxa" w:w="1440"/>
            <w:shd w:fill="0F4761"/>
            <w:tcBorders>
              <w:top w:val="single" w:sz="3" w:space="0" w:color="FFFFFF"/>
              <w:left w:val="single" w:sz="3" w:space="0" w:color="FFFFFF"/>
              <w:bottom w:val="single" w:sz="3" w:space="0" w:color="FFFFFF"/>
              <w:right w:val="single" w:sz="3" w:space="0" w:color="FFFFFF"/>
              <w:insideH w:val="single" w:sz="3" w:space="0" w:color="FFFFFF"/>
              <w:insideV w:val="single" w:sz="3" w:space="0" w:color="FFFFFF"/>
            </w:tcBorders>
            <w:tcMar>
              <w:top w:w="70" w:type="dxa"/>
              <w:start w:w="90" w:type="dxa"/>
              <w:bottom w:w="70" w:type="dxa"/>
              <w:end w:w="90" w:type="dxa"/>
            </w:tcMar>
            <w:vAlign w:val="center"/>
          </w:tcPr>
          <w:p>
            <w:pPr>
              <w:spacing w:after="0"/>
              <w:jc w:val="center"/>
            </w:pPr>
            <w:r>
              <w:rPr>
                <w:rFonts w:ascii="Aptos" w:hAnsi="Aptos" w:eastAsia="Aptos"/>
                <w:b/>
                <w:color w:val="FFFFFF"/>
                <w:sz w:val="15"/>
              </w:rPr>
              <w:t>Mean / Std</w:t>
            </w:r>
          </w:p>
        </w:tc>
        <w:tc>
          <w:tcPr>
            <w:tcW w:type="dxa" w:w="1656"/>
            <w:shd w:fill="0F4761"/>
            <w:tcBorders>
              <w:top w:val="single" w:sz="3" w:space="0" w:color="FFFFFF"/>
              <w:left w:val="single" w:sz="3" w:space="0" w:color="FFFFFF"/>
              <w:bottom w:val="single" w:sz="3" w:space="0" w:color="FFFFFF"/>
              <w:right w:val="single" w:sz="3" w:space="0" w:color="FFFFFF"/>
              <w:insideH w:val="single" w:sz="3" w:space="0" w:color="FFFFFF"/>
              <w:insideV w:val="single" w:sz="3" w:space="0" w:color="FFFFFF"/>
            </w:tcBorders>
            <w:tcMar>
              <w:top w:w="70" w:type="dxa"/>
              <w:start w:w="90" w:type="dxa"/>
              <w:bottom w:w="70" w:type="dxa"/>
              <w:end w:w="90" w:type="dxa"/>
            </w:tcMar>
            <w:vAlign w:val="center"/>
          </w:tcPr>
          <w:p>
            <w:pPr>
              <w:spacing w:after="0"/>
              <w:jc w:val="center"/>
            </w:pPr>
            <w:r>
              <w:rPr>
                <w:rFonts w:ascii="Aptos" w:hAnsi="Aptos" w:eastAsia="Aptos"/>
                <w:b/>
                <w:color w:val="FFFFFF"/>
                <w:sz w:val="15"/>
              </w:rPr>
              <w:t>Sortino (0%)</w:t>
            </w:r>
          </w:p>
        </w:tc>
      </w:tr>
      <w:tr>
        <w:trPr>
          <w:cantSplit/>
        </w:trPr>
        <w:tc>
          <w:tcPr>
            <w:tcW w:type="dxa" w:w="1944"/>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center"/>
          </w:tcPr>
          <w:p>
            <w:pPr>
              <w:spacing w:after="0"/>
              <w:jc w:val="left"/>
            </w:pPr>
            <w:r>
              <w:rPr>
                <w:rFonts w:ascii="Cambria" w:hAnsi="Cambria" w:eastAsia="Cambria"/>
                <w:sz w:val="15"/>
              </w:rPr>
              <w:t>All trades</w:t>
            </w:r>
          </w:p>
        </w:tc>
        <w:tc>
          <w:tcPr>
            <w:tcW w:type="dxa" w:w="648"/>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center"/>
          </w:tcPr>
          <w:p>
            <w:pPr>
              <w:spacing w:after="0"/>
              <w:jc w:val="center"/>
            </w:pPr>
            <w:r>
              <w:rPr>
                <w:rFonts w:ascii="Cambria" w:hAnsi="Cambria" w:eastAsia="Cambria"/>
                <w:sz w:val="15"/>
              </w:rPr>
              <w:t>16</w:t>
            </w:r>
          </w:p>
        </w:tc>
        <w:tc>
          <w:tcPr>
            <w:tcW w:type="dxa" w:w="1152"/>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center"/>
          </w:tcPr>
          <w:p>
            <w:pPr>
              <w:spacing w:after="0"/>
              <w:jc w:val="center"/>
            </w:pPr>
            <w:r>
              <w:rPr>
                <w:rFonts w:ascii="Cambria" w:hAnsi="Cambria" w:eastAsia="Cambria"/>
                <w:sz w:val="15"/>
              </w:rPr>
              <w:t>6.41</w:t>
            </w:r>
          </w:p>
        </w:tc>
        <w:tc>
          <w:tcPr>
            <w:tcW w:type="dxa" w:w="1152"/>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center"/>
          </w:tcPr>
          <w:p>
            <w:pPr>
              <w:spacing w:after="0"/>
              <w:jc w:val="center"/>
            </w:pPr>
            <w:r>
              <w:rPr>
                <w:rFonts w:ascii="Cambria" w:hAnsi="Cambria" w:eastAsia="Cambria"/>
                <w:sz w:val="15"/>
              </w:rPr>
              <w:t>2.52</w:t>
            </w:r>
          </w:p>
        </w:tc>
        <w:tc>
          <w:tcPr>
            <w:tcW w:type="dxa" w:w="1080"/>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center"/>
          </w:tcPr>
          <w:p>
            <w:pPr>
              <w:spacing w:after="0"/>
              <w:jc w:val="center"/>
            </w:pPr>
            <w:r>
              <w:rPr>
                <w:rFonts w:ascii="Cambria" w:hAnsi="Cambria" w:eastAsia="Cambria"/>
                <w:sz w:val="15"/>
              </w:rPr>
              <w:t>7.75</w:t>
            </w:r>
          </w:p>
        </w:tc>
        <w:tc>
          <w:tcPr>
            <w:tcW w:type="dxa" w:w="1440"/>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center"/>
          </w:tcPr>
          <w:p>
            <w:pPr>
              <w:spacing w:after="0"/>
              <w:jc w:val="center"/>
            </w:pPr>
            <w:r>
              <w:rPr>
                <w:rFonts w:ascii="Cambria" w:hAnsi="Cambria" w:eastAsia="Cambria"/>
                <w:sz w:val="15"/>
              </w:rPr>
              <w:t>0.83</w:t>
            </w:r>
          </w:p>
        </w:tc>
        <w:tc>
          <w:tcPr>
            <w:tcW w:type="dxa" w:w="1656"/>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center"/>
          </w:tcPr>
          <w:p>
            <w:pPr>
              <w:spacing w:after="0"/>
              <w:jc w:val="center"/>
            </w:pPr>
            <w:r>
              <w:rPr>
                <w:rFonts w:ascii="Cambria" w:hAnsi="Cambria" w:eastAsia="Cambria"/>
                <w:sz w:val="15"/>
              </w:rPr>
              <w:t>n/a</w:t>
            </w:r>
          </w:p>
        </w:tc>
      </w:tr>
      <w:tr>
        <w:trPr>
          <w:cantSplit/>
        </w:trPr>
        <w:tc>
          <w:tcPr>
            <w:tcW w:type="dxa" w:w="1944"/>
            <w:shd w:fill="F2F2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center"/>
          </w:tcPr>
          <w:p>
            <w:pPr>
              <w:spacing w:after="0"/>
              <w:jc w:val="left"/>
            </w:pPr>
            <w:r>
              <w:rPr>
                <w:rFonts w:ascii="Cambria" w:hAnsi="Cambria" w:eastAsia="Cambria"/>
                <w:sz w:val="15"/>
              </w:rPr>
              <w:t>ENTER</w:t>
            </w:r>
          </w:p>
        </w:tc>
        <w:tc>
          <w:tcPr>
            <w:tcW w:type="dxa" w:w="648"/>
            <w:shd w:fill="F2F2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center"/>
          </w:tcPr>
          <w:p>
            <w:pPr>
              <w:spacing w:after="0"/>
              <w:jc w:val="center"/>
            </w:pPr>
            <w:r>
              <w:rPr>
                <w:rFonts w:ascii="Cambria" w:hAnsi="Cambria" w:eastAsia="Cambria"/>
                <w:sz w:val="15"/>
              </w:rPr>
              <w:t>6</w:t>
            </w:r>
          </w:p>
        </w:tc>
        <w:tc>
          <w:tcPr>
            <w:tcW w:type="dxa" w:w="1152"/>
            <w:shd w:fill="F2F2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center"/>
          </w:tcPr>
          <w:p>
            <w:pPr>
              <w:spacing w:after="0"/>
              <w:jc w:val="center"/>
            </w:pPr>
            <w:r>
              <w:rPr>
                <w:rFonts w:ascii="Cambria" w:hAnsi="Cambria" w:eastAsia="Cambria"/>
                <w:sz w:val="15"/>
              </w:rPr>
              <w:t>9.97</w:t>
            </w:r>
          </w:p>
        </w:tc>
        <w:tc>
          <w:tcPr>
            <w:tcW w:type="dxa" w:w="1152"/>
            <w:shd w:fill="F2F2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center"/>
          </w:tcPr>
          <w:p>
            <w:pPr>
              <w:spacing w:after="0"/>
              <w:jc w:val="center"/>
            </w:pPr>
            <w:r>
              <w:rPr>
                <w:rFonts w:ascii="Cambria" w:hAnsi="Cambria" w:eastAsia="Cambria"/>
                <w:sz w:val="15"/>
              </w:rPr>
              <w:t>9.64</w:t>
            </w:r>
          </w:p>
        </w:tc>
        <w:tc>
          <w:tcPr>
            <w:tcW w:type="dxa" w:w="1080"/>
            <w:shd w:fill="F2F2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center"/>
          </w:tcPr>
          <w:p>
            <w:pPr>
              <w:spacing w:after="0"/>
              <w:jc w:val="center"/>
            </w:pPr>
            <w:r>
              <w:rPr>
                <w:rFonts w:ascii="Cambria" w:hAnsi="Cambria" w:eastAsia="Cambria"/>
                <w:sz w:val="15"/>
              </w:rPr>
              <w:t>6.54</w:t>
            </w:r>
          </w:p>
        </w:tc>
        <w:tc>
          <w:tcPr>
            <w:tcW w:type="dxa" w:w="1440"/>
            <w:shd w:fill="F2F2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center"/>
          </w:tcPr>
          <w:p>
            <w:pPr>
              <w:spacing w:after="0"/>
              <w:jc w:val="center"/>
            </w:pPr>
            <w:r>
              <w:rPr>
                <w:rFonts w:ascii="Cambria" w:hAnsi="Cambria" w:eastAsia="Cambria"/>
                <w:sz w:val="15"/>
              </w:rPr>
              <w:t>1.52</w:t>
            </w:r>
          </w:p>
        </w:tc>
        <w:tc>
          <w:tcPr>
            <w:tcW w:type="dxa" w:w="1656"/>
            <w:shd w:fill="F2F2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center"/>
          </w:tcPr>
          <w:p>
            <w:pPr>
              <w:spacing w:after="0"/>
              <w:jc w:val="center"/>
            </w:pPr>
            <w:r>
              <w:rPr>
                <w:rFonts w:ascii="Cambria" w:hAnsi="Cambria" w:eastAsia="Cambria"/>
                <w:sz w:val="15"/>
              </w:rPr>
              <w:t>n/a</w:t>
            </w:r>
          </w:p>
        </w:tc>
      </w:tr>
      <w:tr>
        <w:trPr>
          <w:cantSplit/>
        </w:trPr>
        <w:tc>
          <w:tcPr>
            <w:tcW w:type="dxa" w:w="1944"/>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center"/>
          </w:tcPr>
          <w:p>
            <w:pPr>
              <w:spacing w:after="0"/>
              <w:jc w:val="left"/>
            </w:pPr>
            <w:r>
              <w:rPr>
                <w:rFonts w:ascii="Cambria" w:hAnsi="Cambria" w:eastAsia="Cambria"/>
                <w:sz w:val="15"/>
              </w:rPr>
              <w:t>REVERSE</w:t>
            </w:r>
          </w:p>
        </w:tc>
        <w:tc>
          <w:tcPr>
            <w:tcW w:type="dxa" w:w="648"/>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center"/>
          </w:tcPr>
          <w:p>
            <w:pPr>
              <w:spacing w:after="0"/>
              <w:jc w:val="center"/>
            </w:pPr>
            <w:r>
              <w:rPr>
                <w:rFonts w:ascii="Cambria" w:hAnsi="Cambria" w:eastAsia="Cambria"/>
                <w:sz w:val="15"/>
              </w:rPr>
              <w:t>10</w:t>
            </w:r>
          </w:p>
        </w:tc>
        <w:tc>
          <w:tcPr>
            <w:tcW w:type="dxa" w:w="1152"/>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center"/>
          </w:tcPr>
          <w:p>
            <w:pPr>
              <w:spacing w:after="0"/>
              <w:jc w:val="center"/>
            </w:pPr>
            <w:r>
              <w:rPr>
                <w:rFonts w:ascii="Cambria" w:hAnsi="Cambria" w:eastAsia="Cambria"/>
                <w:sz w:val="15"/>
              </w:rPr>
              <w:t>4.28</w:t>
            </w:r>
          </w:p>
        </w:tc>
        <w:tc>
          <w:tcPr>
            <w:tcW w:type="dxa" w:w="1152"/>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center"/>
          </w:tcPr>
          <w:p>
            <w:pPr>
              <w:spacing w:after="0"/>
              <w:jc w:val="center"/>
            </w:pPr>
            <w:r>
              <w:rPr>
                <w:rFonts w:ascii="Cambria" w:hAnsi="Cambria" w:eastAsia="Cambria"/>
                <w:sz w:val="15"/>
              </w:rPr>
              <w:t>2.04</w:t>
            </w:r>
          </w:p>
        </w:tc>
        <w:tc>
          <w:tcPr>
            <w:tcW w:type="dxa" w:w="1080"/>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center"/>
          </w:tcPr>
          <w:p>
            <w:pPr>
              <w:spacing w:after="0"/>
              <w:jc w:val="center"/>
            </w:pPr>
            <w:r>
              <w:rPr>
                <w:rFonts w:ascii="Cambria" w:hAnsi="Cambria" w:eastAsia="Cambria"/>
                <w:sz w:val="15"/>
              </w:rPr>
              <w:t>7.92</w:t>
            </w:r>
          </w:p>
        </w:tc>
        <w:tc>
          <w:tcPr>
            <w:tcW w:type="dxa" w:w="1440"/>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center"/>
          </w:tcPr>
          <w:p>
            <w:pPr>
              <w:spacing w:after="0"/>
              <w:jc w:val="center"/>
            </w:pPr>
            <w:r>
              <w:rPr>
                <w:rFonts w:ascii="Cambria" w:hAnsi="Cambria" w:eastAsia="Cambria"/>
                <w:sz w:val="15"/>
              </w:rPr>
              <w:t>0.54</w:t>
            </w:r>
          </w:p>
        </w:tc>
        <w:tc>
          <w:tcPr>
            <w:tcW w:type="dxa" w:w="1656"/>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center"/>
          </w:tcPr>
          <w:p>
            <w:pPr>
              <w:spacing w:after="0"/>
              <w:jc w:val="center"/>
            </w:pPr>
            <w:r>
              <w:rPr>
                <w:rFonts w:ascii="Cambria" w:hAnsi="Cambria" w:eastAsia="Cambria"/>
                <w:sz w:val="15"/>
              </w:rPr>
              <w:t>n/a</w:t>
            </w:r>
          </w:p>
        </w:tc>
      </w:tr>
      <w:tr>
        <w:trPr>
          <w:cantSplit/>
        </w:trPr>
        <w:tc>
          <w:tcPr>
            <w:tcW w:type="dxa" w:w="1944"/>
            <w:shd w:fill="F2F2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center"/>
          </w:tcPr>
          <w:p>
            <w:pPr>
              <w:spacing w:after="0"/>
              <w:jc w:val="left"/>
            </w:pPr>
            <w:r>
              <w:rPr>
                <w:rFonts w:ascii="Cambria" w:hAnsi="Cambria" w:eastAsia="Cambria"/>
                <w:sz w:val="15"/>
              </w:rPr>
              <w:t>Ex-top winner</w:t>
            </w:r>
          </w:p>
        </w:tc>
        <w:tc>
          <w:tcPr>
            <w:tcW w:type="dxa" w:w="648"/>
            <w:shd w:fill="F2F2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center"/>
          </w:tcPr>
          <w:p>
            <w:pPr>
              <w:spacing w:after="0"/>
              <w:jc w:val="center"/>
            </w:pPr>
            <w:r>
              <w:rPr>
                <w:rFonts w:ascii="Cambria" w:hAnsi="Cambria" w:eastAsia="Cambria"/>
                <w:sz w:val="15"/>
              </w:rPr>
              <w:t>15</w:t>
            </w:r>
          </w:p>
        </w:tc>
        <w:tc>
          <w:tcPr>
            <w:tcW w:type="dxa" w:w="1152"/>
            <w:shd w:fill="F2F2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center"/>
          </w:tcPr>
          <w:p>
            <w:pPr>
              <w:spacing w:after="0"/>
              <w:jc w:val="center"/>
            </w:pPr>
            <w:r>
              <w:rPr>
                <w:rFonts w:ascii="Cambria" w:hAnsi="Cambria" w:eastAsia="Cambria"/>
                <w:sz w:val="15"/>
              </w:rPr>
              <w:t>5.07</w:t>
            </w:r>
          </w:p>
        </w:tc>
        <w:tc>
          <w:tcPr>
            <w:tcW w:type="dxa" w:w="1152"/>
            <w:shd w:fill="F2F2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center"/>
          </w:tcPr>
          <w:p>
            <w:pPr>
              <w:spacing w:after="0"/>
              <w:jc w:val="center"/>
            </w:pPr>
            <w:r>
              <w:rPr>
                <w:rFonts w:ascii="Cambria" w:hAnsi="Cambria" w:eastAsia="Cambria"/>
                <w:sz w:val="15"/>
              </w:rPr>
              <w:t>2.35</w:t>
            </w:r>
          </w:p>
        </w:tc>
        <w:tc>
          <w:tcPr>
            <w:tcW w:type="dxa" w:w="1080"/>
            <w:shd w:fill="F2F2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center"/>
          </w:tcPr>
          <w:p>
            <w:pPr>
              <w:spacing w:after="0"/>
              <w:jc w:val="center"/>
            </w:pPr>
            <w:r>
              <w:rPr>
                <w:rFonts w:ascii="Cambria" w:hAnsi="Cambria" w:eastAsia="Cambria"/>
                <w:sz w:val="15"/>
              </w:rPr>
              <w:t>5.80</w:t>
            </w:r>
          </w:p>
        </w:tc>
        <w:tc>
          <w:tcPr>
            <w:tcW w:type="dxa" w:w="1440"/>
            <w:shd w:fill="F2F2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center"/>
          </w:tcPr>
          <w:p>
            <w:pPr>
              <w:spacing w:after="0"/>
              <w:jc w:val="center"/>
            </w:pPr>
            <w:r>
              <w:rPr>
                <w:rFonts w:ascii="Cambria" w:hAnsi="Cambria" w:eastAsia="Cambria"/>
                <w:sz w:val="15"/>
              </w:rPr>
              <w:t>0.87</w:t>
            </w:r>
          </w:p>
        </w:tc>
        <w:tc>
          <w:tcPr>
            <w:tcW w:type="dxa" w:w="1656"/>
            <w:shd w:fill="F2F2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center"/>
          </w:tcPr>
          <w:p>
            <w:pPr>
              <w:spacing w:after="0"/>
              <w:jc w:val="center"/>
            </w:pPr>
            <w:r>
              <w:rPr>
                <w:rFonts w:ascii="Cambria" w:hAnsi="Cambria" w:eastAsia="Cambria"/>
                <w:sz w:val="15"/>
              </w:rPr>
              <w:t>n/a</w:t>
            </w:r>
          </w:p>
        </w:tc>
      </w:tr>
    </w:tbl>
    <w:p>
      <w:pPr>
        <w:spacing w:after="0"/>
      </w:pPr>
    </w:p>
    <w:p>
      <w:pPr>
        <w:pStyle w:val="BodyText"/>
        <w:jc w:val="both"/>
      </w:pPr>
      <w:r>
        <w:t>This table is cross-sectional: each trade contributes one terminal realized return. Because none of the sixteen final returns is negative, downside deviation relative to a 0% minimum acceptable return is zero and the cross-sectional Sortino ratio is undefined. This does not conflict with Stage 10: profitable trades can still experience negative daily mark-to-market returns before settlement.</w:t>
      </w:r>
    </w:p>
    <w:p>
      <w:r>
        <w:br w:type="page"/>
      </w:r>
    </w:p>
    <w:p>
      <w:pPr>
        <w:pStyle w:val="Heading2"/>
        <w:keepNext/>
      </w:pPr>
      <w:r>
        <w:t>8. Stage 10 — Historical Daily Strategy Results</w:t>
      </w:r>
    </w:p>
    <w:p>
      <w:pPr>
        <w:pStyle w:val="FirstParagraph"/>
        <w:jc w:val="both"/>
      </w:pPr>
      <w:r>
        <w:t>Stage 10 reconstructs target/acquirer hedged daily P&amp;L from entry through the election deadline or settlement. Eighteen of twenty selected trades have sufficient common price history. Fourteen paths reconcile their final day to the observed settlement return; four use an explicit market-to-deadline fallback. Foster Wheeler and Alliance Bankshares are excluded because common target/acquirer histories are insufficient.</w:t>
      </w:r>
    </w:p>
    <w:tbl>
      <w:tblPr>
        <w:tblW w:type="auto" w:w="0"/>
        <w:jc w:val="center"/>
        <w:tblLayout w:type="fixed"/>
        <w:tblLook w:firstColumn="1" w:firstRow="1" w:lastColumn="0" w:lastRow="0" w:noHBand="0" w:noVBand="1" w:val="04A0"/>
      </w:tblPr>
      <w:tblGrid>
        <w:gridCol w:w="1235"/>
        <w:gridCol w:w="1235"/>
        <w:gridCol w:w="1235"/>
        <w:gridCol w:w="1235"/>
        <w:gridCol w:w="1235"/>
        <w:gridCol w:w="1235"/>
        <w:gridCol w:w="1235"/>
        <w:gridCol w:w="1235"/>
      </w:tblGrid>
      <w:tr>
        <w:trPr>
          <w:tblHeader w:val="true"/>
          <w:tblHeader w:val="true"/>
        </w:trPr>
        <w:tc>
          <w:tcPr>
            <w:tcW w:type="dxa" w:w="1800"/>
            <w:shd w:fill="0F4761"/>
            <w:tcBorders>
              <w:top w:val="single" w:sz="3" w:space="0" w:color="FFFFFF"/>
              <w:left w:val="single" w:sz="3" w:space="0" w:color="FFFFFF"/>
              <w:bottom w:val="single" w:sz="3" w:space="0" w:color="FFFFFF"/>
              <w:right w:val="single" w:sz="3" w:space="0" w:color="FFFFFF"/>
              <w:insideH w:val="single" w:sz="3" w:space="0" w:color="FFFFFF"/>
              <w:insideV w:val="single" w:sz="3" w:space="0" w:color="FFFFFF"/>
            </w:tcBorders>
            <w:tcMar>
              <w:top w:w="70" w:type="dxa"/>
              <w:start w:w="90" w:type="dxa"/>
              <w:bottom w:w="70" w:type="dxa"/>
              <w:end w:w="90" w:type="dxa"/>
            </w:tcMar>
            <w:vAlign w:val="center"/>
          </w:tcPr>
          <w:p>
            <w:pPr>
              <w:spacing w:after="0"/>
              <w:jc w:val="center"/>
            </w:pPr>
            <w:r>
              <w:rPr>
                <w:rFonts w:ascii="Aptos" w:hAnsi="Aptos" w:eastAsia="Aptos"/>
                <w:b/>
                <w:color w:val="FFFFFF"/>
                <w:sz w:val="15"/>
              </w:rPr>
              <w:t>Daily sample</w:t>
            </w:r>
          </w:p>
        </w:tc>
        <w:tc>
          <w:tcPr>
            <w:tcW w:type="dxa" w:w="792"/>
            <w:shd w:fill="0F4761"/>
            <w:tcBorders>
              <w:top w:val="single" w:sz="3" w:space="0" w:color="FFFFFF"/>
              <w:left w:val="single" w:sz="3" w:space="0" w:color="FFFFFF"/>
              <w:bottom w:val="single" w:sz="3" w:space="0" w:color="FFFFFF"/>
              <w:right w:val="single" w:sz="3" w:space="0" w:color="FFFFFF"/>
              <w:insideH w:val="single" w:sz="3" w:space="0" w:color="FFFFFF"/>
              <w:insideV w:val="single" w:sz="3" w:space="0" w:color="FFFFFF"/>
            </w:tcBorders>
            <w:tcMar>
              <w:top w:w="70" w:type="dxa"/>
              <w:start w:w="90" w:type="dxa"/>
              <w:bottom w:w="70" w:type="dxa"/>
              <w:end w:w="90" w:type="dxa"/>
            </w:tcMar>
            <w:vAlign w:val="center"/>
          </w:tcPr>
          <w:p>
            <w:pPr>
              <w:spacing w:after="0"/>
              <w:jc w:val="center"/>
            </w:pPr>
            <w:r>
              <w:rPr>
                <w:rFonts w:ascii="Aptos" w:hAnsi="Aptos" w:eastAsia="Aptos"/>
                <w:b/>
                <w:color w:val="FFFFFF"/>
                <w:sz w:val="15"/>
              </w:rPr>
              <w:t>Days</w:t>
            </w:r>
          </w:p>
        </w:tc>
        <w:tc>
          <w:tcPr>
            <w:tcW w:type="dxa" w:w="1224"/>
            <w:shd w:fill="0F4761"/>
            <w:tcBorders>
              <w:top w:val="single" w:sz="3" w:space="0" w:color="FFFFFF"/>
              <w:left w:val="single" w:sz="3" w:space="0" w:color="FFFFFF"/>
              <w:bottom w:val="single" w:sz="3" w:space="0" w:color="FFFFFF"/>
              <w:right w:val="single" w:sz="3" w:space="0" w:color="FFFFFF"/>
              <w:insideH w:val="single" w:sz="3" w:space="0" w:color="FFFFFF"/>
              <w:insideV w:val="single" w:sz="3" w:space="0" w:color="FFFFFF"/>
            </w:tcBorders>
            <w:tcMar>
              <w:top w:w="70" w:type="dxa"/>
              <w:start w:w="90" w:type="dxa"/>
              <w:bottom w:w="70" w:type="dxa"/>
              <w:end w:w="90" w:type="dxa"/>
            </w:tcMar>
            <w:vAlign w:val="center"/>
          </w:tcPr>
          <w:p>
            <w:pPr>
              <w:spacing w:after="0"/>
              <w:jc w:val="center"/>
            </w:pPr>
            <w:r>
              <w:rPr>
                <w:rFonts w:ascii="Aptos" w:hAnsi="Aptos" w:eastAsia="Aptos"/>
                <w:b/>
                <w:color w:val="FFFFFF"/>
                <w:sz w:val="15"/>
              </w:rPr>
              <w:t>Mean daily %</w:t>
            </w:r>
          </w:p>
        </w:tc>
        <w:tc>
          <w:tcPr>
            <w:tcW w:type="dxa" w:w="1080"/>
            <w:shd w:fill="0F4761"/>
            <w:tcBorders>
              <w:top w:val="single" w:sz="3" w:space="0" w:color="FFFFFF"/>
              <w:left w:val="single" w:sz="3" w:space="0" w:color="FFFFFF"/>
              <w:bottom w:val="single" w:sz="3" w:space="0" w:color="FFFFFF"/>
              <w:right w:val="single" w:sz="3" w:space="0" w:color="FFFFFF"/>
              <w:insideH w:val="single" w:sz="3" w:space="0" w:color="FFFFFF"/>
              <w:insideV w:val="single" w:sz="3" w:space="0" w:color="FFFFFF"/>
            </w:tcBorders>
            <w:tcMar>
              <w:top w:w="70" w:type="dxa"/>
              <w:start w:w="90" w:type="dxa"/>
              <w:bottom w:w="70" w:type="dxa"/>
              <w:end w:w="90" w:type="dxa"/>
            </w:tcMar>
            <w:vAlign w:val="center"/>
          </w:tcPr>
          <w:p>
            <w:pPr>
              <w:spacing w:after="0"/>
              <w:jc w:val="center"/>
            </w:pPr>
            <w:r>
              <w:rPr>
                <w:rFonts w:ascii="Aptos" w:hAnsi="Aptos" w:eastAsia="Aptos"/>
                <w:b/>
                <w:color w:val="FFFFFF"/>
                <w:sz w:val="15"/>
              </w:rPr>
              <w:t>Ann. vol %</w:t>
            </w:r>
          </w:p>
        </w:tc>
        <w:tc>
          <w:tcPr>
            <w:tcW w:type="dxa" w:w="936"/>
            <w:shd w:fill="0F4761"/>
            <w:tcBorders>
              <w:top w:val="single" w:sz="3" w:space="0" w:color="FFFFFF"/>
              <w:left w:val="single" w:sz="3" w:space="0" w:color="FFFFFF"/>
              <w:bottom w:val="single" w:sz="3" w:space="0" w:color="FFFFFF"/>
              <w:right w:val="single" w:sz="3" w:space="0" w:color="FFFFFF"/>
              <w:insideH w:val="single" w:sz="3" w:space="0" w:color="FFFFFF"/>
              <w:insideV w:val="single" w:sz="3" w:space="0" w:color="FFFFFF"/>
            </w:tcBorders>
            <w:tcMar>
              <w:top w:w="70" w:type="dxa"/>
              <w:start w:w="90" w:type="dxa"/>
              <w:bottom w:w="70" w:type="dxa"/>
              <w:end w:w="90" w:type="dxa"/>
            </w:tcMar>
            <w:vAlign w:val="center"/>
          </w:tcPr>
          <w:p>
            <w:pPr>
              <w:spacing w:after="0"/>
              <w:jc w:val="center"/>
            </w:pPr>
            <w:r>
              <w:rPr>
                <w:rFonts w:ascii="Aptos" w:hAnsi="Aptos" w:eastAsia="Aptos"/>
                <w:b/>
                <w:color w:val="FFFFFF"/>
                <w:sz w:val="15"/>
              </w:rPr>
              <w:t>Sharpe</w:t>
            </w:r>
          </w:p>
        </w:tc>
        <w:tc>
          <w:tcPr>
            <w:tcW w:type="dxa" w:w="936"/>
            <w:shd w:fill="0F4761"/>
            <w:tcBorders>
              <w:top w:val="single" w:sz="3" w:space="0" w:color="FFFFFF"/>
              <w:left w:val="single" w:sz="3" w:space="0" w:color="FFFFFF"/>
              <w:bottom w:val="single" w:sz="3" w:space="0" w:color="FFFFFF"/>
              <w:right w:val="single" w:sz="3" w:space="0" w:color="FFFFFF"/>
              <w:insideH w:val="single" w:sz="3" w:space="0" w:color="FFFFFF"/>
              <w:insideV w:val="single" w:sz="3" w:space="0" w:color="FFFFFF"/>
            </w:tcBorders>
            <w:tcMar>
              <w:top w:w="70" w:type="dxa"/>
              <w:start w:w="90" w:type="dxa"/>
              <w:bottom w:w="70" w:type="dxa"/>
              <w:end w:w="90" w:type="dxa"/>
            </w:tcMar>
            <w:vAlign w:val="center"/>
          </w:tcPr>
          <w:p>
            <w:pPr>
              <w:spacing w:after="0"/>
              <w:jc w:val="center"/>
            </w:pPr>
            <w:r>
              <w:rPr>
                <w:rFonts w:ascii="Aptos" w:hAnsi="Aptos" w:eastAsia="Aptos"/>
                <w:b/>
                <w:color w:val="FFFFFF"/>
                <w:sz w:val="15"/>
              </w:rPr>
              <w:t>Sortino</w:t>
            </w:r>
          </w:p>
        </w:tc>
        <w:tc>
          <w:tcPr>
            <w:tcW w:type="dxa" w:w="1008"/>
            <w:shd w:fill="0F4761"/>
            <w:tcBorders>
              <w:top w:val="single" w:sz="3" w:space="0" w:color="FFFFFF"/>
              <w:left w:val="single" w:sz="3" w:space="0" w:color="FFFFFF"/>
              <w:bottom w:val="single" w:sz="3" w:space="0" w:color="FFFFFF"/>
              <w:right w:val="single" w:sz="3" w:space="0" w:color="FFFFFF"/>
              <w:insideH w:val="single" w:sz="3" w:space="0" w:color="FFFFFF"/>
              <w:insideV w:val="single" w:sz="3" w:space="0" w:color="FFFFFF"/>
            </w:tcBorders>
            <w:tcMar>
              <w:top w:w="70" w:type="dxa"/>
              <w:start w:w="90" w:type="dxa"/>
              <w:bottom w:w="70" w:type="dxa"/>
              <w:end w:w="90" w:type="dxa"/>
            </w:tcMar>
            <w:vAlign w:val="center"/>
          </w:tcPr>
          <w:p>
            <w:pPr>
              <w:spacing w:after="0"/>
              <w:jc w:val="center"/>
            </w:pPr>
            <w:r>
              <w:rPr>
                <w:rFonts w:ascii="Aptos" w:hAnsi="Aptos" w:eastAsia="Aptos"/>
                <w:b/>
                <w:color w:val="FFFFFF"/>
                <w:sz w:val="15"/>
              </w:rPr>
              <w:t>Max DD %</w:t>
            </w:r>
          </w:p>
        </w:tc>
        <w:tc>
          <w:tcPr>
            <w:tcW w:type="dxa" w:w="1224"/>
            <w:shd w:fill="0F4761"/>
            <w:tcBorders>
              <w:top w:val="single" w:sz="3" w:space="0" w:color="FFFFFF"/>
              <w:left w:val="single" w:sz="3" w:space="0" w:color="FFFFFF"/>
              <w:bottom w:val="single" w:sz="3" w:space="0" w:color="FFFFFF"/>
              <w:right w:val="single" w:sz="3" w:space="0" w:color="FFFFFF"/>
              <w:insideH w:val="single" w:sz="3" w:space="0" w:color="FFFFFF"/>
              <w:insideV w:val="single" w:sz="3" w:space="0" w:color="FFFFFF"/>
            </w:tcBorders>
            <w:tcMar>
              <w:top w:w="70" w:type="dxa"/>
              <w:start w:w="90" w:type="dxa"/>
              <w:bottom w:w="70" w:type="dxa"/>
              <w:end w:w="90" w:type="dxa"/>
            </w:tcMar>
            <w:vAlign w:val="center"/>
          </w:tcPr>
          <w:p>
            <w:pPr>
              <w:spacing w:after="0"/>
              <w:jc w:val="center"/>
            </w:pPr>
            <w:r>
              <w:rPr>
                <w:rFonts w:ascii="Aptos" w:hAnsi="Aptos" w:eastAsia="Aptos"/>
                <w:b/>
                <w:color w:val="FFFFFF"/>
                <w:sz w:val="15"/>
              </w:rPr>
              <w:t>Additive cum. %</w:t>
            </w:r>
          </w:p>
        </w:tc>
      </w:tr>
      <w:tr>
        <w:trPr>
          <w:cantSplit/>
        </w:trPr>
        <w:tc>
          <w:tcPr>
            <w:tcW w:type="dxa" w:w="1800"/>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center"/>
          </w:tcPr>
          <w:p>
            <w:pPr>
              <w:spacing w:after="0"/>
              <w:jc w:val="left"/>
            </w:pPr>
            <w:r>
              <w:rPr>
                <w:rFonts w:ascii="Cambria" w:hAnsi="Cambria" w:eastAsia="Cambria"/>
                <w:sz w:val="15"/>
              </w:rPr>
              <w:t>Active-position</w:t>
            </w:r>
          </w:p>
        </w:tc>
        <w:tc>
          <w:tcPr>
            <w:tcW w:type="dxa" w:w="792"/>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center"/>
          </w:tcPr>
          <w:p>
            <w:pPr>
              <w:spacing w:after="0"/>
              <w:jc w:val="center"/>
            </w:pPr>
            <w:r>
              <w:rPr>
                <w:rFonts w:ascii="Cambria" w:hAnsi="Cambria" w:eastAsia="Cambria"/>
                <w:sz w:val="15"/>
              </w:rPr>
              <w:t>771</w:t>
            </w:r>
          </w:p>
        </w:tc>
        <w:tc>
          <w:tcPr>
            <w:tcW w:type="dxa" w:w="1224"/>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center"/>
          </w:tcPr>
          <w:p>
            <w:pPr>
              <w:spacing w:after="0"/>
              <w:jc w:val="center"/>
            </w:pPr>
            <w:r>
              <w:rPr>
                <w:rFonts w:ascii="Cambria" w:hAnsi="Cambria" w:eastAsia="Cambria"/>
                <w:sz w:val="15"/>
              </w:rPr>
              <w:t>0.1254</w:t>
            </w:r>
          </w:p>
        </w:tc>
        <w:tc>
          <w:tcPr>
            <w:tcW w:type="dxa" w:w="1080"/>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center"/>
          </w:tcPr>
          <w:p>
            <w:pPr>
              <w:spacing w:after="0"/>
              <w:jc w:val="center"/>
            </w:pPr>
            <w:r>
              <w:rPr>
                <w:rFonts w:ascii="Cambria" w:hAnsi="Cambria" w:eastAsia="Cambria"/>
                <w:sz w:val="15"/>
              </w:rPr>
              <w:t>29.33</w:t>
            </w:r>
          </w:p>
        </w:tc>
        <w:tc>
          <w:tcPr>
            <w:tcW w:type="dxa" w:w="936"/>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center"/>
          </w:tcPr>
          <w:p>
            <w:pPr>
              <w:spacing w:after="0"/>
              <w:jc w:val="center"/>
            </w:pPr>
            <w:r>
              <w:rPr>
                <w:rFonts w:ascii="Cambria" w:hAnsi="Cambria" w:eastAsia="Cambria"/>
                <w:sz w:val="15"/>
              </w:rPr>
              <w:t>1.08</w:t>
            </w:r>
          </w:p>
        </w:tc>
        <w:tc>
          <w:tcPr>
            <w:tcW w:type="dxa" w:w="936"/>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center"/>
          </w:tcPr>
          <w:p>
            <w:pPr>
              <w:spacing w:after="0"/>
              <w:jc w:val="center"/>
            </w:pPr>
            <w:r>
              <w:rPr>
                <w:rFonts w:ascii="Cambria" w:hAnsi="Cambria" w:eastAsia="Cambria"/>
                <w:sz w:val="15"/>
              </w:rPr>
              <w:t>3.07</w:t>
            </w:r>
          </w:p>
        </w:tc>
        <w:tc>
          <w:tcPr>
            <w:tcW w:type="dxa" w:w="1008"/>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center"/>
          </w:tcPr>
          <w:p>
            <w:pPr>
              <w:spacing w:after="0"/>
              <w:jc w:val="center"/>
            </w:pPr>
            <w:r>
              <w:rPr>
                <w:rFonts w:ascii="Cambria" w:hAnsi="Cambria" w:eastAsia="Cambria"/>
                <w:sz w:val="15"/>
              </w:rPr>
              <w:t>-15.21</w:t>
            </w:r>
          </w:p>
        </w:tc>
        <w:tc>
          <w:tcPr>
            <w:tcW w:type="dxa" w:w="1224"/>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center"/>
          </w:tcPr>
          <w:p>
            <w:pPr>
              <w:spacing w:after="0"/>
              <w:jc w:val="center"/>
            </w:pPr>
            <w:r>
              <w:rPr>
                <w:rFonts w:ascii="Cambria" w:hAnsi="Cambria" w:eastAsia="Cambria"/>
                <w:sz w:val="15"/>
              </w:rPr>
              <w:t>96.67</w:t>
            </w:r>
          </w:p>
        </w:tc>
      </w:tr>
      <w:tr>
        <w:trPr>
          <w:cantSplit/>
        </w:trPr>
        <w:tc>
          <w:tcPr>
            <w:tcW w:type="dxa" w:w="1800"/>
            <w:shd w:fill="F2F2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center"/>
          </w:tcPr>
          <w:p>
            <w:pPr>
              <w:spacing w:after="0"/>
              <w:jc w:val="left"/>
            </w:pPr>
            <w:r>
              <w:rPr>
                <w:rFonts w:ascii="Cambria" w:hAnsi="Cambria" w:eastAsia="Cambria"/>
                <w:sz w:val="15"/>
              </w:rPr>
              <w:t>Full calendar</w:t>
            </w:r>
          </w:p>
        </w:tc>
        <w:tc>
          <w:tcPr>
            <w:tcW w:type="dxa" w:w="792"/>
            <w:shd w:fill="F2F2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center"/>
          </w:tcPr>
          <w:p>
            <w:pPr>
              <w:spacing w:after="0"/>
              <w:jc w:val="center"/>
            </w:pPr>
            <w:r>
              <w:rPr>
                <w:rFonts w:ascii="Cambria" w:hAnsi="Cambria" w:eastAsia="Cambria"/>
                <w:sz w:val="15"/>
              </w:rPr>
              <w:t>4,469</w:t>
            </w:r>
          </w:p>
        </w:tc>
        <w:tc>
          <w:tcPr>
            <w:tcW w:type="dxa" w:w="1224"/>
            <w:shd w:fill="F2F2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center"/>
          </w:tcPr>
          <w:p>
            <w:pPr>
              <w:spacing w:after="0"/>
              <w:jc w:val="center"/>
            </w:pPr>
            <w:r>
              <w:rPr>
                <w:rFonts w:ascii="Cambria" w:hAnsi="Cambria" w:eastAsia="Cambria"/>
                <w:sz w:val="15"/>
              </w:rPr>
              <w:t>0.0216</w:t>
            </w:r>
          </w:p>
        </w:tc>
        <w:tc>
          <w:tcPr>
            <w:tcW w:type="dxa" w:w="1080"/>
            <w:shd w:fill="F2F2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center"/>
          </w:tcPr>
          <w:p>
            <w:pPr>
              <w:spacing w:after="0"/>
              <w:jc w:val="center"/>
            </w:pPr>
            <w:r>
              <w:rPr>
                <w:rFonts w:ascii="Cambria" w:hAnsi="Cambria" w:eastAsia="Cambria"/>
                <w:sz w:val="15"/>
              </w:rPr>
              <w:t>12.20</w:t>
            </w:r>
          </w:p>
        </w:tc>
        <w:tc>
          <w:tcPr>
            <w:tcW w:type="dxa" w:w="936"/>
            <w:shd w:fill="F2F2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center"/>
          </w:tcPr>
          <w:p>
            <w:pPr>
              <w:spacing w:after="0"/>
              <w:jc w:val="center"/>
            </w:pPr>
            <w:r>
              <w:rPr>
                <w:rFonts w:ascii="Cambria" w:hAnsi="Cambria" w:eastAsia="Cambria"/>
                <w:sz w:val="15"/>
              </w:rPr>
              <w:t>0.45</w:t>
            </w:r>
          </w:p>
        </w:tc>
        <w:tc>
          <w:tcPr>
            <w:tcW w:type="dxa" w:w="936"/>
            <w:shd w:fill="F2F2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center"/>
          </w:tcPr>
          <w:p>
            <w:pPr>
              <w:spacing w:after="0"/>
              <w:jc w:val="center"/>
            </w:pPr>
            <w:r>
              <w:rPr>
                <w:rFonts w:ascii="Cambria" w:hAnsi="Cambria" w:eastAsia="Cambria"/>
                <w:sz w:val="15"/>
              </w:rPr>
              <w:t>1.27</w:t>
            </w:r>
          </w:p>
        </w:tc>
        <w:tc>
          <w:tcPr>
            <w:tcW w:type="dxa" w:w="1008"/>
            <w:shd w:fill="F2F2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center"/>
          </w:tcPr>
          <w:p>
            <w:pPr>
              <w:spacing w:after="0"/>
              <w:jc w:val="center"/>
            </w:pPr>
            <w:r>
              <w:rPr>
                <w:rFonts w:ascii="Cambria" w:hAnsi="Cambria" w:eastAsia="Cambria"/>
                <w:sz w:val="15"/>
              </w:rPr>
              <w:t>-15.21</w:t>
            </w:r>
          </w:p>
        </w:tc>
        <w:tc>
          <w:tcPr>
            <w:tcW w:type="dxa" w:w="1224"/>
            <w:shd w:fill="F2F2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center"/>
          </w:tcPr>
          <w:p>
            <w:pPr>
              <w:spacing w:after="0"/>
              <w:jc w:val="center"/>
            </w:pPr>
            <w:r>
              <w:rPr>
                <w:rFonts w:ascii="Cambria" w:hAnsi="Cambria" w:eastAsia="Cambria"/>
                <w:sz w:val="15"/>
              </w:rPr>
              <w:t>96.67</w:t>
            </w:r>
          </w:p>
        </w:tc>
      </w:tr>
    </w:tbl>
    <w:p>
      <w:pPr>
        <w:spacing w:after="0"/>
      </w:pPr>
    </w:p>
    <w:p>
      <w:pPr>
        <w:pStyle w:val="BodyText"/>
        <w:jc w:val="both"/>
      </w:pPr>
      <w:r>
        <w:rPr>
          <w:b/>
        </w:rPr>
        <w:t xml:space="preserve">Sharpe. </w:t>
      </w:r>
      <w:r>
        <w:t>Mean daily return divided by daily standard deviation and annualized with sqrt(252), using a zero risk-free rate. The active-position version keeps only days on which at least one trade is open; the full-calendar version adds zero-return business days when no position is active.</w:t>
      </w:r>
    </w:p>
    <w:p>
      <w:pPr>
        <w:pStyle w:val="BodyText"/>
        <w:jc w:val="both"/>
      </w:pPr>
      <w:r>
        <w:rPr>
          <w:b/>
        </w:rPr>
        <w:t xml:space="preserve">Sortino. </w:t>
      </w:r>
      <w:r>
        <w:t>Mean daily return divided by downside deviation relative to a 0% minimum acceptable return, annualized with sqrt(252). Negative mark-to-market days make downside deviation non-zero even though every covered terminal trade return is positive.</w:t>
      </w:r>
    </w:p>
    <w:p>
      <w:pPr>
        <w:pStyle w:val="BodyText"/>
        <w:jc w:val="both"/>
      </w:pPr>
      <w:r>
        <w:rPr>
          <w:b/>
        </w:rPr>
        <w:t xml:space="preserve">Cumulative return. </w:t>
      </w:r>
      <w:r>
        <w:t>The 96.67% figure is the additive sum of capacity-weighted daily portfolio returns across sequential opportunities. Capital is reused over time, so it is not comparable to the 6.42% expected return on the one-time aggregate opportunity notional.</w:t>
      </w:r>
    </w:p>
    <w:p>
      <w:pPr>
        <w:pStyle w:val="BodyText"/>
        <w:jc w:val="both"/>
      </w:pPr>
      <w:r>
        <w:t>The active-position ratios measure performance while capital is deployed; the full-calendar ratios additionally penalize idle time. Maximum additive drawdown is -15.21%. Transaction costs, financing costs, borrow fees, and a non-zero risk-free rate are not deducted.</w:t>
      </w:r>
    </w:p>
    <w:tbl>
      <w:tblPr>
        <w:tblW w:type="auto" w:w="0"/>
        <w:jc w:val="center"/>
        <w:tblLayout w:type="autofit"/>
        <w:tblLook w:firstColumn="1" w:firstRow="1" w:lastColumn="0" w:lastRow="0" w:noHBand="0" w:noVBand="1" w:val="04A0"/>
      </w:tblPr>
      <w:tblGrid>
        <w:gridCol w:w="9878"/>
      </w:tblGrid>
      <w:tr>
        <w:tc>
          <w:tcPr>
            <w:tcW w:type="dxa" w:w="9878"/>
            <w:shd w:fill="EDF4F8"/>
            <w:tcBorders>
              <w:top w:val="single" w:sz="5" w:space="0" w:color="9FBAD0"/>
              <w:left w:val="single" w:sz="5" w:space="0" w:color="9FBAD0"/>
              <w:bottom w:val="single" w:sz="5" w:space="0" w:color="9FBAD0"/>
              <w:right w:val="single" w:sz="5" w:space="0" w:color="9FBAD0"/>
              <w:insideH w:val="single" w:sz="5" w:space="0" w:color="9FBAD0"/>
              <w:insideV w:val="single" w:sz="5" w:space="0" w:color="9FBAD0"/>
            </w:tcBorders>
            <w:tcMar>
              <w:top w:w="100" w:type="dxa"/>
              <w:start w:w="130" w:type="dxa"/>
              <w:bottom w:w="100" w:type="dxa"/>
              <w:end w:w="130" w:type="dxa"/>
            </w:tcMar>
          </w:tcPr>
          <w:p>
            <w:pPr>
              <w:spacing w:after="0"/>
            </w:pPr>
            <w:r>
              <w:rPr>
                <w:rFonts w:ascii="Cambria" w:hAnsi="Cambria" w:eastAsia="Cambria"/>
                <w:b/>
                <w:color w:val="0F4761"/>
                <w:sz w:val="20"/>
              </w:rPr>
              <w:t xml:space="preserve">Validation boundary. </w:t>
            </w:r>
            <w:r>
              <w:rPr>
                <w:rFonts w:ascii="Cambria" w:hAnsi="Cambria" w:eastAsia="Cambria"/>
                <w:sz w:val="20"/>
              </w:rPr>
              <w:t>Completion-only and all-tradable daily results are identical because all eighteen reconstructed historical events completed. The ratios are useful diagnostics of the hedged paths, but a fully investable Sharpe and Sortino require realized terminated and withdrawn trade paths.</w:t>
            </w:r>
          </w:p>
        </w:tc>
      </w:tr>
    </w:tbl>
    <w:p>
      <w:pPr>
        <w:spacing w:after="0"/>
      </w:pPr>
    </w:p>
    <w:p>
      <w:r>
        <w:br w:type="page"/>
      </w:r>
    </w:p>
    <w:p>
      <w:pPr>
        <w:pStyle w:val="Heading2"/>
        <w:keepNext/>
      </w:pPr>
      <w:r>
        <w:t>9. Findings &amp; Interpretation</w:t>
      </w:r>
    </w:p>
    <w:p>
      <w:pPr>
        <w:pStyle w:val="Compact"/>
        <w:jc w:val="both"/>
      </w:pPr>
      <w:r>
        <w:rPr>
          <w:b/>
        </w:rPr>
        <w:t xml:space="preserve">Finding 1 — Disclosure is the binding constraint. </w:t>
      </w:r>
      <w:r>
        <w:t>Only 73 of 317 reviewed elections disclose usable realized demand. A targeted re-extraction of 26 recoverable-looking cases found one additional label, indicating that the missing variable is usually absent from the public filing rather than missed by the extraction pipeline.</w:t>
      </w:r>
    </w:p>
    <w:p>
      <w:pPr>
        <w:pStyle w:val="Compact"/>
        <w:jc w:val="both"/>
      </w:pPr>
      <w:r>
        <w:rPr>
          <w:b/>
        </w:rPr>
        <w:t xml:space="preserve">Finding 2 — Demand is predictable as a distribution. </w:t>
      </w:r>
      <w:r>
        <w:t>The U-shaped Beta fit is well calibrated out of sample. This supports distributional pricing even though deadline spread and sparse sector features do not support a reliable conditional demand forecast.</w:t>
      </w:r>
    </w:p>
    <w:p>
      <w:pPr>
        <w:pStyle w:val="Compact"/>
        <w:jc w:val="both"/>
      </w:pPr>
      <w:r>
        <w:rPr>
          <w:b/>
        </w:rPr>
        <w:t xml:space="preserve">Finding 3 — Deal-outcome features add modest probability skill. </w:t>
      </w:r>
      <w:r>
        <w:t>Temporal Brier improves from 0.317 to 0.307. The gain is economically useful because completion is no longer assumed certain, but it does not justify claiming strong terminated/withdrawn classification.</w:t>
      </w:r>
    </w:p>
    <w:p>
      <w:pPr>
        <w:pStyle w:val="Compact"/>
        <w:jc w:val="both"/>
      </w:pPr>
      <w:r>
        <w:rPr>
          <w:b/>
        </w:rPr>
        <w:t xml:space="preserve">Finding 4 — Selectivity is a feature of the strategy. </w:t>
      </w:r>
      <w:r>
        <w:t>Only twenty of eighty-eight priced signals are traded. REVIEW isolates data-quality risk; PASS-family decisions reject opportunities whose mean edge does not survive tail-risk gates.</w:t>
      </w:r>
    </w:p>
    <w:p>
      <w:pPr>
        <w:pStyle w:val="Compact"/>
        <w:jc w:val="both"/>
      </w:pPr>
      <w:r>
        <w:rPr>
          <w:b/>
        </w:rPr>
        <w:t xml:space="preserve">Finding 5 — Capacity is not determined by expected return alone. </w:t>
      </w:r>
      <w:r>
        <w:t>ENTER trades are primarily limited by source supply and self-impact; REVERSE trades by borrow, flow, and noisy buyer demand. The largest edge is not automatically the largest position.</w:t>
      </w:r>
    </w:p>
    <w:p>
      <w:pPr>
        <w:pStyle w:val="Compact"/>
        <w:jc w:val="both"/>
      </w:pPr>
      <w:r>
        <w:rPr>
          <w:b/>
        </w:rPr>
        <w:t xml:space="preserve">Finding 6 — Historical validation is encouraging but incomplete. </w:t>
      </w:r>
      <w:r>
        <w:t>Settlement payoffs are positively correlated with expectations and the daily hedged paths produce positive active-day risk-adjusted ratios. However, the executable history contains no broken deals, making these statistics an upper-bound diagnostic rather than final investable proof.</w:t>
      </w:r>
    </w:p>
    <w:p>
      <w:pPr>
        <w:pStyle w:val="Heading3"/>
        <w:keepNext/>
      </w:pPr>
      <w:r>
        <w:t>Data-Integrity Result</w:t>
      </w:r>
    </w:p>
    <w:p>
      <w:pPr>
        <w:pStyle w:val="BodyText"/>
        <w:jc w:val="both"/>
      </w:pPr>
      <w:r>
        <w:t>Validation exposed a right tail of implausibly large edges caused by misparsed cash-and-stock terms and wrong-entity price mappings. Explicit PERMNO overrides now repair the Isle/MTR acquirer collision and Sirius target collision. A consistency guard routes deals to REVIEW when the two election options differ by more than 50%. Removing these artifacts reduced the median realized edge from 1.66% to 1.40%, a more credible result.</w:t>
      </w:r>
    </w:p>
    <w:p>
      <w:r>
        <w:br w:type="page"/>
      </w:r>
    </w:p>
    <w:p>
      <w:pPr>
        <w:pStyle w:val="Heading2"/>
        <w:keepNext/>
      </w:pPr>
      <w:r>
        <w:t>10. Limitations &amp; Future Work</w:t>
      </w:r>
    </w:p>
    <w:p>
      <w:pPr>
        <w:pStyle w:val="Compact"/>
        <w:jc w:val="both"/>
      </w:pPr>
      <w:r>
        <w:rPr>
          <w:b/>
        </w:rPr>
        <w:t xml:space="preserve">Completed-only historical strategy. </w:t>
      </w:r>
      <w:r>
        <w:t>The outcome classifier is evaluated on all-status temporal data, but the historical strategy still lacks terminated and withdrawn trade paths. Collecting those price and settlement histories is the highest-priority extension.</w:t>
      </w:r>
    </w:p>
    <w:p>
      <w:pPr>
        <w:pStyle w:val="Compact"/>
        <w:jc w:val="both"/>
      </w:pPr>
      <w:r>
        <w:rPr>
          <w:b/>
        </w:rPr>
        <w:t xml:space="preserve">Disclosure ceiling and censoring. </w:t>
      </w:r>
      <w:r>
        <w:t>Seventy-three direct demand labels are near the public-disclosure limit. Proration outcomes that reveal only a floor or ceiling could be included through a censored-likelihood Beta model.</w:t>
      </w:r>
    </w:p>
    <w:p>
      <w:pPr>
        <w:pStyle w:val="Compact"/>
        <w:jc w:val="both"/>
      </w:pPr>
      <w:r>
        <w:rPr>
          <w:b/>
        </w:rPr>
        <w:t xml:space="preserve">Holder model. </w:t>
      </w:r>
      <w:r>
        <w:t>The structural p/q estimates help parameterize capacity but have weak standalone demand-prediction accuracy. Alternative ownership and proxy solicitor data could improve holder-state identification.</w:t>
      </w:r>
    </w:p>
    <w:p>
      <w:pPr>
        <w:pStyle w:val="Compact"/>
        <w:jc w:val="both"/>
      </w:pPr>
      <w:r>
        <w:rPr>
          <w:b/>
        </w:rPr>
        <w:t xml:space="preserve">Outcome features. </w:t>
      </w:r>
      <w:r>
        <w:t>Regulatory flags, financing conditions, antitrust second requests, and termination-fee structure may improve terminated/withdrawn separation.</w:t>
      </w:r>
    </w:p>
    <w:p>
      <w:pPr>
        <w:pStyle w:val="Compact"/>
        <w:jc w:val="both"/>
      </w:pPr>
      <w:r>
        <w:rPr>
          <w:b/>
        </w:rPr>
        <w:t xml:space="preserve">Execution costs. </w:t>
      </w:r>
      <w:r>
        <w:t>Reported history excludes bid-ask spreads, commissions, financing, borrow fees, and locate failures. These should be deducted before an investable performance claim.</w:t>
      </w:r>
    </w:p>
    <w:p>
      <w:pPr>
        <w:pStyle w:val="Compact"/>
        <w:jc w:val="both"/>
      </w:pPr>
      <w:r>
        <w:rPr>
          <w:b/>
        </w:rPr>
        <w:t xml:space="preserve">Dynamic market risk. </w:t>
      </w:r>
      <w:r>
        <w:t>The Monte Carlo fixes the acquirer price at the deadline and the history uses a selected hedge ratio. A path model with dynamic hedge rebalancing would capture residual basis and ratio risk more fully.</w:t>
      </w:r>
    </w:p>
    <w:p>
      <w:pPr>
        <w:pStyle w:val="Compact"/>
        <w:jc w:val="both"/>
      </w:pPr>
      <w:r>
        <w:rPr>
          <w:b/>
        </w:rPr>
        <w:t xml:space="preserve">Private and foreign acquirers. </w:t>
      </w:r>
      <w:r>
        <w:t>Deals without a listed domestic acquirer or adequate common price history remain a separate, currently unhedgeable bucket.</w:t>
      </w:r>
    </w:p>
    <w:p>
      <w:pPr>
        <w:pStyle w:val="Heading2"/>
        <w:keepNext/>
      </w:pPr>
      <w:r>
        <w:t>11. Reproducibility &amp; Contributions</w:t>
      </w:r>
    </w:p>
    <w:p>
      <w:pPr>
        <w:pStyle w:val="FirstParagraph"/>
        <w:jc w:val="both"/>
      </w:pPr>
      <w:r>
        <w:t>After placing the seven licensed local inputs at their standard paths, the reference analytics can be rebuilt with the following commands:</w:t>
      </w:r>
    </w:p>
    <w:p>
      <w:pPr>
        <w:spacing w:before="60" w:after="140" w:line="276" w:lineRule="auto"/>
        <w:ind w:left="360" w:right="360"/>
        <w:shd w:fill="F2F2F2"/>
      </w:pPr>
      <w:r>
        <w:rPr>
          <w:rFonts w:ascii="Courier New" w:hAnsi="Courier New" w:eastAsia="Courier New"/>
          <w:sz w:val="18"/>
        </w:rPr>
        <w:t>python arb_pipeline.py check</w:t>
        <w:br/>
        <w:t>python arb_pipeline.py fast</w:t>
        <w:br/>
        <w:t>python arb_pipeline.py material</w:t>
      </w:r>
    </w:p>
    <w:tbl>
      <w:tblPr>
        <w:tblW w:type="auto" w:w="0"/>
        <w:jc w:val="center"/>
        <w:tblLayout w:type="fixed"/>
        <w:tblLook w:firstColumn="1" w:firstRow="1" w:lastColumn="0" w:lastRow="0" w:noHBand="0" w:noVBand="1" w:val="04A0"/>
      </w:tblPr>
      <w:tblGrid>
        <w:gridCol w:w="4939"/>
        <w:gridCol w:w="4939"/>
      </w:tblGrid>
      <w:tr>
        <w:trPr>
          <w:tblHeader w:val="true"/>
          <w:tblHeader w:val="true"/>
        </w:trPr>
        <w:tc>
          <w:tcPr>
            <w:tcW w:type="dxa" w:w="7416"/>
            <w:shd w:fill="0F4761"/>
            <w:tcBorders>
              <w:top w:val="single" w:sz="3" w:space="0" w:color="FFFFFF"/>
              <w:left w:val="single" w:sz="3" w:space="0" w:color="FFFFFF"/>
              <w:bottom w:val="single" w:sz="3" w:space="0" w:color="FFFFFF"/>
              <w:right w:val="single" w:sz="3" w:space="0" w:color="FFFFFF"/>
              <w:insideH w:val="single" w:sz="3" w:space="0" w:color="FFFFFF"/>
              <w:insideV w:val="single" w:sz="3" w:space="0" w:color="FFFFFF"/>
            </w:tcBorders>
            <w:tcMar>
              <w:top w:w="70" w:type="dxa"/>
              <w:start w:w="90" w:type="dxa"/>
              <w:bottom w:w="70" w:type="dxa"/>
              <w:end w:w="90" w:type="dxa"/>
            </w:tcMar>
            <w:vAlign w:val="center"/>
          </w:tcPr>
          <w:p>
            <w:pPr>
              <w:spacing w:after="0"/>
              <w:jc w:val="center"/>
            </w:pPr>
            <w:r>
              <w:rPr>
                <w:rFonts w:ascii="Aptos" w:hAnsi="Aptos" w:eastAsia="Aptos"/>
                <w:b/>
                <w:color w:val="FFFFFF"/>
                <w:sz w:val="17"/>
              </w:rPr>
              <w:t>Area</w:t>
            </w:r>
          </w:p>
        </w:tc>
        <w:tc>
          <w:tcPr>
            <w:tcW w:type="dxa" w:w="2160"/>
            <w:shd w:fill="0F4761"/>
            <w:tcBorders>
              <w:top w:val="single" w:sz="3" w:space="0" w:color="FFFFFF"/>
              <w:left w:val="single" w:sz="3" w:space="0" w:color="FFFFFF"/>
              <w:bottom w:val="single" w:sz="3" w:space="0" w:color="FFFFFF"/>
              <w:right w:val="single" w:sz="3" w:space="0" w:color="FFFFFF"/>
              <w:insideH w:val="single" w:sz="3" w:space="0" w:color="FFFFFF"/>
              <w:insideV w:val="single" w:sz="3" w:space="0" w:color="FFFFFF"/>
            </w:tcBorders>
            <w:tcMar>
              <w:top w:w="70" w:type="dxa"/>
              <w:start w:w="90" w:type="dxa"/>
              <w:bottom w:w="70" w:type="dxa"/>
              <w:end w:w="90" w:type="dxa"/>
            </w:tcMar>
            <w:vAlign w:val="center"/>
          </w:tcPr>
          <w:p>
            <w:pPr>
              <w:spacing w:after="0"/>
              <w:jc w:val="center"/>
            </w:pPr>
            <w:r>
              <w:rPr>
                <w:rFonts w:ascii="Aptos" w:hAnsi="Aptos" w:eastAsia="Aptos"/>
                <w:b/>
                <w:color w:val="FFFFFF"/>
                <w:sz w:val="17"/>
              </w:rPr>
              <w:t>Contributor</w:t>
            </w:r>
          </w:p>
        </w:tc>
      </w:tr>
      <w:tr>
        <w:trPr>
          <w:cantSplit/>
        </w:trPr>
        <w:tc>
          <w:tcPr>
            <w:tcW w:type="dxa" w:w="7416"/>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center"/>
          </w:tcPr>
          <w:p>
            <w:pPr>
              <w:spacing w:after="0"/>
              <w:jc w:val="left"/>
            </w:pPr>
            <w:r>
              <w:rPr>
                <w:rFonts w:ascii="Cambria" w:hAnsi="Cambria" w:eastAsia="Cambria"/>
                <w:sz w:val="17"/>
              </w:rPr>
              <w:t>SEC/LLM extraction, identifier resolution, WRDS data, demand calibration, value engine</w:t>
            </w:r>
          </w:p>
        </w:tc>
        <w:tc>
          <w:tcPr>
            <w:tcW w:type="dxa" w:w="2160"/>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center"/>
          </w:tcPr>
          <w:p>
            <w:pPr>
              <w:spacing w:after="0"/>
              <w:jc w:val="left"/>
            </w:pPr>
            <w:r>
              <w:rPr>
                <w:rFonts w:ascii="Cambria" w:hAnsi="Cambria" w:eastAsia="Cambria"/>
                <w:sz w:val="17"/>
              </w:rPr>
              <w:t>Alvin Yu</w:t>
            </w:r>
          </w:p>
        </w:tc>
      </w:tr>
      <w:tr>
        <w:trPr>
          <w:cantSplit/>
        </w:trPr>
        <w:tc>
          <w:tcPr>
            <w:tcW w:type="dxa" w:w="7416"/>
            <w:shd w:fill="F2F2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center"/>
          </w:tcPr>
          <w:p>
            <w:pPr>
              <w:spacing w:after="0"/>
              <w:jc w:val="left"/>
            </w:pPr>
            <w:r>
              <w:rPr>
                <w:rFonts w:ascii="Cambria" w:hAnsi="Cambria" w:eastAsia="Cambria"/>
                <w:sz w:val="17"/>
              </w:rPr>
              <w:t>Outcome model, holder structure, risk gates, capacity, and strategy history</w:t>
            </w:r>
          </w:p>
        </w:tc>
        <w:tc>
          <w:tcPr>
            <w:tcW w:type="dxa" w:w="2160"/>
            <w:shd w:fill="F2F2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center"/>
          </w:tcPr>
          <w:p>
            <w:pPr>
              <w:spacing w:after="0"/>
              <w:jc w:val="left"/>
            </w:pPr>
            <w:r>
              <w:rPr>
                <w:rFonts w:ascii="Cambria" w:hAnsi="Cambria" w:eastAsia="Cambria"/>
                <w:sz w:val="17"/>
              </w:rPr>
              <w:t>Xiangyu Wang</w:t>
            </w:r>
          </w:p>
        </w:tc>
      </w:tr>
      <w:tr>
        <w:trPr>
          <w:cantSplit/>
        </w:trPr>
        <w:tc>
          <w:tcPr>
            <w:tcW w:type="dxa" w:w="7416"/>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center"/>
          </w:tcPr>
          <w:p>
            <w:pPr>
              <w:spacing w:after="0"/>
              <w:jc w:val="left"/>
            </w:pPr>
            <w:r>
              <w:rPr>
                <w:rFonts w:ascii="Cambria" w:hAnsi="Cambria" w:eastAsia="Cambria"/>
                <w:sz w:val="17"/>
              </w:rPr>
              <w:t>Documentation, figures, and presentation</w:t>
            </w:r>
          </w:p>
        </w:tc>
        <w:tc>
          <w:tcPr>
            <w:tcW w:type="dxa" w:w="2160"/>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center"/>
          </w:tcPr>
          <w:p>
            <w:pPr>
              <w:spacing w:after="0"/>
              <w:jc w:val="left"/>
            </w:pPr>
            <w:r>
              <w:rPr>
                <w:rFonts w:ascii="Cambria" w:hAnsi="Cambria" w:eastAsia="Cambria"/>
                <w:sz w:val="17"/>
              </w:rPr>
              <w:t>Alvin Yu &amp; Xiangyu Wang</w:t>
            </w:r>
          </w:p>
        </w:tc>
      </w:tr>
    </w:tbl>
    <w:p>
      <w:pPr>
        <w:spacing w:after="0"/>
      </w:pPr>
    </w:p>
    <w:p>
      <w:pPr>
        <w:pStyle w:val="Heading3"/>
        <w:keepNext/>
      </w:pPr>
      <w:r>
        <w:t>Data &amp; Tools</w:t>
      </w:r>
    </w:p>
    <w:p>
      <w:pPr>
        <w:pStyle w:val="Compact"/>
        <w:ind w:left="317" w:hanging="202"/>
      </w:pPr>
      <w:r>
        <w:rPr>
          <w:b/>
        </w:rPr>
        <w:t xml:space="preserve">• </w:t>
      </w:r>
      <w:r>
        <w:t>U.S. Securities and Exchange Commission, EDGAR Full-Text Search.</w:t>
      </w:r>
    </w:p>
    <w:p>
      <w:pPr>
        <w:pStyle w:val="Compact"/>
        <w:ind w:left="317" w:hanging="202"/>
      </w:pPr>
      <w:r>
        <w:rPr>
          <w:b/>
        </w:rPr>
        <w:t xml:space="preserve">• </w:t>
      </w:r>
      <w:r>
        <w:t>Center for Research in Security Prices, via Wharton Research Data Services.</w:t>
      </w:r>
    </w:p>
    <w:p>
      <w:pPr>
        <w:pStyle w:val="Compact"/>
        <w:ind w:left="317" w:hanging="202"/>
      </w:pPr>
      <w:r>
        <w:rPr>
          <w:b/>
        </w:rPr>
        <w:t xml:space="preserve">• </w:t>
      </w:r>
      <w:r>
        <w:t>Bloomberg M&amp;A deal universe and terms.</w:t>
      </w:r>
    </w:p>
    <w:p>
      <w:pPr>
        <w:pStyle w:val="Compact"/>
        <w:ind w:left="317" w:hanging="202"/>
      </w:pPr>
      <w:r>
        <w:rPr>
          <w:b/>
        </w:rPr>
        <w:t xml:space="preserve">• </w:t>
      </w:r>
      <w:r>
        <w:t>Anthropic Claude, used for structured SEC field extraction.</w:t>
      </w:r>
    </w:p>
    <w:p>
      <w:pPr>
        <w:pStyle w:val="Compact"/>
        <w:ind w:left="317" w:hanging="202"/>
      </w:pPr>
      <w:r>
        <w:rPr>
          <w:b/>
        </w:rPr>
        <w:t xml:space="preserve">• </w:t>
      </w:r>
      <w:r>
        <w:t>Python, pandas, NumPy, SciPy, scikit-learn, and matplotlib for the research pipeline.</w:t>
      </w:r>
    </w:p>
    <w:p>
      <w:r>
        <w:br w:type="page"/>
      </w:r>
    </w:p>
    <w:p>
      <w:pPr>
        <w:pStyle w:val="Heading2"/>
        <w:keepNext/>
      </w:pPr>
      <w:r>
        <w:t>Appendix A — Metric Definitions</w:t>
      </w:r>
    </w:p>
    <w:tbl>
      <w:tblPr>
        <w:tblW w:type="auto" w:w="0"/>
        <w:jc w:val="center"/>
        <w:tblLayout w:type="fixed"/>
        <w:tblLook w:firstColumn="1" w:firstRow="1" w:lastColumn="0" w:lastRow="0" w:noHBand="0" w:noVBand="1" w:val="04A0"/>
      </w:tblPr>
      <w:tblGrid>
        <w:gridCol w:w="4939"/>
        <w:gridCol w:w="4939"/>
      </w:tblGrid>
      <w:tr>
        <w:trPr>
          <w:tblHeader w:val="true"/>
          <w:tblHeader w:val="true"/>
        </w:trPr>
        <w:tc>
          <w:tcPr>
            <w:tcW w:type="dxa" w:w="2448"/>
            <w:shd w:fill="0F4761"/>
            <w:tcBorders>
              <w:top w:val="single" w:sz="3" w:space="0" w:color="FFFFFF"/>
              <w:left w:val="single" w:sz="3" w:space="0" w:color="FFFFFF"/>
              <w:bottom w:val="single" w:sz="3" w:space="0" w:color="FFFFFF"/>
              <w:right w:val="single" w:sz="3" w:space="0" w:color="FFFFFF"/>
              <w:insideH w:val="single" w:sz="3" w:space="0" w:color="FFFFFF"/>
              <w:insideV w:val="single" w:sz="3" w:space="0" w:color="FFFFFF"/>
            </w:tcBorders>
            <w:tcMar>
              <w:top w:w="70" w:type="dxa"/>
              <w:start w:w="90" w:type="dxa"/>
              <w:bottom w:w="70" w:type="dxa"/>
              <w:end w:w="90" w:type="dxa"/>
            </w:tcMar>
            <w:vAlign w:val="center"/>
          </w:tcPr>
          <w:p>
            <w:pPr>
              <w:spacing w:after="0"/>
              <w:jc w:val="center"/>
            </w:pPr>
            <w:r>
              <w:rPr>
                <w:rFonts w:ascii="Aptos" w:hAnsi="Aptos" w:eastAsia="Aptos"/>
                <w:b/>
                <w:color w:val="FFFFFF"/>
                <w:sz w:val="16"/>
              </w:rPr>
              <w:t>Metric</w:t>
            </w:r>
          </w:p>
        </w:tc>
        <w:tc>
          <w:tcPr>
            <w:tcW w:type="dxa" w:w="7128"/>
            <w:shd w:fill="0F4761"/>
            <w:tcBorders>
              <w:top w:val="single" w:sz="3" w:space="0" w:color="FFFFFF"/>
              <w:left w:val="single" w:sz="3" w:space="0" w:color="FFFFFF"/>
              <w:bottom w:val="single" w:sz="3" w:space="0" w:color="FFFFFF"/>
              <w:right w:val="single" w:sz="3" w:space="0" w:color="FFFFFF"/>
              <w:insideH w:val="single" w:sz="3" w:space="0" w:color="FFFFFF"/>
              <w:insideV w:val="single" w:sz="3" w:space="0" w:color="FFFFFF"/>
            </w:tcBorders>
            <w:tcMar>
              <w:top w:w="70" w:type="dxa"/>
              <w:start w:w="90" w:type="dxa"/>
              <w:bottom w:w="70" w:type="dxa"/>
              <w:end w:w="90" w:type="dxa"/>
            </w:tcMar>
            <w:vAlign w:val="center"/>
          </w:tcPr>
          <w:p>
            <w:pPr>
              <w:spacing w:after="0"/>
              <w:jc w:val="center"/>
            </w:pPr>
            <w:r>
              <w:rPr>
                <w:rFonts w:ascii="Aptos" w:hAnsi="Aptos" w:eastAsia="Aptos"/>
                <w:b/>
                <w:color w:val="FFFFFF"/>
                <w:sz w:val="16"/>
              </w:rPr>
              <w:t>Definition and use</w:t>
            </w:r>
          </w:p>
        </w:tc>
      </w:tr>
      <w:tr>
        <w:trPr>
          <w:cantSplit/>
        </w:trPr>
        <w:tc>
          <w:tcPr>
            <w:tcW w:type="dxa" w:w="2448"/>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center"/>
          </w:tcPr>
          <w:p>
            <w:pPr>
              <w:spacing w:after="0"/>
              <w:jc w:val="left"/>
            </w:pPr>
            <w:r>
              <w:rPr>
                <w:rFonts w:ascii="Cambria" w:hAnsi="Cambria" w:eastAsia="Cambria"/>
                <w:sz w:val="16"/>
              </w:rPr>
              <w:t>Multiclass Brier score</w:t>
            </w:r>
          </w:p>
        </w:tc>
        <w:tc>
          <w:tcPr>
            <w:tcW w:type="dxa" w:w="7128"/>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center"/>
          </w:tcPr>
          <w:p>
            <w:pPr>
              <w:spacing w:after="0"/>
              <w:jc w:val="left"/>
            </w:pPr>
            <w:r>
              <w:rPr>
                <w:rFonts w:ascii="Cambria" w:hAnsi="Cambria" w:eastAsia="Cambria"/>
                <w:sz w:val="16"/>
              </w:rPr>
              <w:t>Mean squared error across the three predicted outcome probabilities; lower is better.</w:t>
            </w:r>
          </w:p>
        </w:tc>
      </w:tr>
      <w:tr>
        <w:trPr>
          <w:cantSplit/>
        </w:trPr>
        <w:tc>
          <w:tcPr>
            <w:tcW w:type="dxa" w:w="2448"/>
            <w:shd w:fill="F2F2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center"/>
          </w:tcPr>
          <w:p>
            <w:pPr>
              <w:spacing w:after="0"/>
              <w:jc w:val="left"/>
            </w:pPr>
            <w:r>
              <w:rPr>
                <w:rFonts w:ascii="Cambria" w:hAnsi="Cambria" w:eastAsia="Cambria"/>
                <w:sz w:val="16"/>
              </w:rPr>
              <w:t>Brier skill score</w:t>
            </w:r>
          </w:p>
        </w:tc>
        <w:tc>
          <w:tcPr>
            <w:tcW w:type="dxa" w:w="7128"/>
            <w:shd w:fill="F2F2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center"/>
          </w:tcPr>
          <w:p>
            <w:pPr>
              <w:spacing w:after="0"/>
              <w:jc w:val="left"/>
            </w:pPr>
            <w:r>
              <w:rPr>
                <w:rFonts w:ascii="Cambria" w:hAnsi="Cambria" w:eastAsia="Cambria"/>
                <w:sz w:val="16"/>
              </w:rPr>
              <w:t>Relative improvement in Brier score versus the prior-only probability forecast.</w:t>
            </w:r>
          </w:p>
        </w:tc>
      </w:tr>
      <w:tr>
        <w:trPr>
          <w:cantSplit/>
        </w:trPr>
        <w:tc>
          <w:tcPr>
            <w:tcW w:type="dxa" w:w="2448"/>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center"/>
          </w:tcPr>
          <w:p>
            <w:pPr>
              <w:spacing w:after="0"/>
              <w:jc w:val="left"/>
            </w:pPr>
            <w:r>
              <w:rPr>
                <w:rFonts w:ascii="Cambria" w:hAnsi="Cambria" w:eastAsia="Cambria"/>
                <w:sz w:val="16"/>
              </w:rPr>
              <w:t>Balanced accuracy</w:t>
            </w:r>
          </w:p>
        </w:tc>
        <w:tc>
          <w:tcPr>
            <w:tcW w:type="dxa" w:w="7128"/>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center"/>
          </w:tcPr>
          <w:p>
            <w:pPr>
              <w:spacing w:after="0"/>
              <w:jc w:val="left"/>
            </w:pPr>
            <w:r>
              <w:rPr>
                <w:rFonts w:ascii="Cambria" w:hAnsi="Cambria" w:eastAsia="Cambria"/>
                <w:sz w:val="16"/>
              </w:rPr>
              <w:t>Average recall across completed, terminated, and withdrawn; each class receives equal weight.</w:t>
            </w:r>
          </w:p>
        </w:tc>
      </w:tr>
      <w:tr>
        <w:trPr>
          <w:cantSplit/>
        </w:trPr>
        <w:tc>
          <w:tcPr>
            <w:tcW w:type="dxa" w:w="2448"/>
            <w:shd w:fill="F2F2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center"/>
          </w:tcPr>
          <w:p>
            <w:pPr>
              <w:spacing w:after="0"/>
              <w:jc w:val="left"/>
            </w:pPr>
            <w:r>
              <w:rPr>
                <w:rFonts w:ascii="Cambria" w:hAnsi="Cambria" w:eastAsia="Cambria"/>
                <w:sz w:val="16"/>
              </w:rPr>
              <w:t>Macro-F1</w:t>
            </w:r>
          </w:p>
        </w:tc>
        <w:tc>
          <w:tcPr>
            <w:tcW w:type="dxa" w:w="7128"/>
            <w:shd w:fill="F2F2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center"/>
          </w:tcPr>
          <w:p>
            <w:pPr>
              <w:spacing w:after="0"/>
              <w:jc w:val="left"/>
            </w:pPr>
            <w:r>
              <w:rPr>
                <w:rFonts w:ascii="Cambria" w:hAnsi="Cambria" w:eastAsia="Cambria"/>
                <w:sz w:val="16"/>
              </w:rPr>
              <w:t>Unweighted average of the three class-specific F1 scores.</w:t>
            </w:r>
          </w:p>
        </w:tc>
      </w:tr>
      <w:tr>
        <w:trPr>
          <w:cantSplit/>
        </w:trPr>
        <w:tc>
          <w:tcPr>
            <w:tcW w:type="dxa" w:w="2448"/>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center"/>
          </w:tcPr>
          <w:p>
            <w:pPr>
              <w:spacing w:after="0"/>
              <w:jc w:val="left"/>
            </w:pPr>
            <w:r>
              <w:rPr>
                <w:rFonts w:ascii="Cambria" w:hAnsi="Cambria" w:eastAsia="Cambria"/>
                <w:sz w:val="16"/>
              </w:rPr>
              <w:t>p05</w:t>
            </w:r>
          </w:p>
        </w:tc>
        <w:tc>
          <w:tcPr>
            <w:tcW w:type="dxa" w:w="7128"/>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center"/>
          </w:tcPr>
          <w:p>
            <w:pPr>
              <w:spacing w:after="0"/>
              <w:jc w:val="left"/>
            </w:pPr>
            <w:r>
              <w:rPr>
                <w:rFonts w:ascii="Cambria" w:hAnsi="Cambria" w:eastAsia="Cambria"/>
                <w:sz w:val="16"/>
              </w:rPr>
              <w:t>Fifth percentile of the simulated return distribution; a lower-tail stress statistic.</w:t>
            </w:r>
          </w:p>
        </w:tc>
      </w:tr>
      <w:tr>
        <w:trPr>
          <w:cantSplit/>
        </w:trPr>
        <w:tc>
          <w:tcPr>
            <w:tcW w:type="dxa" w:w="2448"/>
            <w:shd w:fill="F2F2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center"/>
          </w:tcPr>
          <w:p>
            <w:pPr>
              <w:spacing w:after="0"/>
              <w:jc w:val="left"/>
            </w:pPr>
            <w:r>
              <w:rPr>
                <w:rFonts w:ascii="Cambria" w:hAnsi="Cambria" w:eastAsia="Cambria"/>
                <w:sz w:val="16"/>
              </w:rPr>
              <w:t>CVaR</w:t>
            </w:r>
          </w:p>
        </w:tc>
        <w:tc>
          <w:tcPr>
            <w:tcW w:type="dxa" w:w="7128"/>
            <w:shd w:fill="F2F2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center"/>
          </w:tcPr>
          <w:p>
            <w:pPr>
              <w:spacing w:after="0"/>
              <w:jc w:val="left"/>
            </w:pPr>
            <w:r>
              <w:rPr>
                <w:rFonts w:ascii="Cambria" w:hAnsi="Cambria" w:eastAsia="Cambria"/>
                <w:sz w:val="16"/>
              </w:rPr>
              <w:t>Average return within the worst 5% of simulated outcomes.</w:t>
            </w:r>
          </w:p>
        </w:tc>
      </w:tr>
      <w:tr>
        <w:trPr>
          <w:cantSplit/>
        </w:trPr>
        <w:tc>
          <w:tcPr>
            <w:tcW w:type="dxa" w:w="2448"/>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center"/>
          </w:tcPr>
          <w:p>
            <w:pPr>
              <w:spacing w:after="0"/>
              <w:jc w:val="left"/>
            </w:pPr>
            <w:r>
              <w:rPr>
                <w:rFonts w:ascii="Cambria" w:hAnsi="Cambria" w:eastAsia="Cambria"/>
                <w:sz w:val="16"/>
              </w:rPr>
              <w:t>Sharpe</w:t>
            </w:r>
          </w:p>
        </w:tc>
        <w:tc>
          <w:tcPr>
            <w:tcW w:type="dxa" w:w="7128"/>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center"/>
          </w:tcPr>
          <w:p>
            <w:pPr>
              <w:spacing w:after="0"/>
              <w:jc w:val="left"/>
            </w:pPr>
            <w:r>
              <w:rPr>
                <w:rFonts w:ascii="Cambria" w:hAnsi="Cambria" w:eastAsia="Cambria"/>
                <w:sz w:val="16"/>
              </w:rPr>
              <w:t>Mean daily return divided by daily standard deviation, annualized with sqrt(252).</w:t>
            </w:r>
          </w:p>
        </w:tc>
      </w:tr>
      <w:tr>
        <w:trPr>
          <w:cantSplit/>
        </w:trPr>
        <w:tc>
          <w:tcPr>
            <w:tcW w:type="dxa" w:w="2448"/>
            <w:shd w:fill="F2F2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center"/>
          </w:tcPr>
          <w:p>
            <w:pPr>
              <w:spacing w:after="0"/>
              <w:jc w:val="left"/>
            </w:pPr>
            <w:r>
              <w:rPr>
                <w:rFonts w:ascii="Cambria" w:hAnsi="Cambria" w:eastAsia="Cambria"/>
                <w:sz w:val="16"/>
              </w:rPr>
              <w:t>Sortino</w:t>
            </w:r>
          </w:p>
        </w:tc>
        <w:tc>
          <w:tcPr>
            <w:tcW w:type="dxa" w:w="7128"/>
            <w:shd w:fill="F2F2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center"/>
          </w:tcPr>
          <w:p>
            <w:pPr>
              <w:spacing w:after="0"/>
              <w:jc w:val="left"/>
            </w:pPr>
            <w:r>
              <w:rPr>
                <w:rFonts w:ascii="Cambria" w:hAnsi="Cambria" w:eastAsia="Cambria"/>
                <w:sz w:val="16"/>
              </w:rPr>
              <w:t>Mean daily return divided by downside deviation below a 0% minimum acceptable return, annualized with sqrt(252).</w:t>
            </w:r>
          </w:p>
        </w:tc>
      </w:tr>
      <w:tr>
        <w:trPr>
          <w:cantSplit/>
        </w:trPr>
        <w:tc>
          <w:tcPr>
            <w:tcW w:type="dxa" w:w="2448"/>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center"/>
          </w:tcPr>
          <w:p>
            <w:pPr>
              <w:spacing w:after="0"/>
              <w:jc w:val="left"/>
            </w:pPr>
            <w:r>
              <w:rPr>
                <w:rFonts w:ascii="Cambria" w:hAnsi="Cambria" w:eastAsia="Cambria"/>
                <w:sz w:val="16"/>
              </w:rPr>
              <w:t>Maximum drawdown</w:t>
            </w:r>
          </w:p>
        </w:tc>
        <w:tc>
          <w:tcPr>
            <w:tcW w:type="dxa" w:w="7128"/>
            <w:shd w:fill="FFFFFF"/>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center"/>
          </w:tcPr>
          <w:p>
            <w:pPr>
              <w:spacing w:after="0"/>
              <w:jc w:val="left"/>
            </w:pPr>
            <w:r>
              <w:rPr>
                <w:rFonts w:ascii="Cambria" w:hAnsi="Cambria" w:eastAsia="Cambria"/>
                <w:sz w:val="16"/>
              </w:rPr>
              <w:t>Largest peak-to-trough decline in the additive cumulative daily-return path.</w:t>
            </w:r>
          </w:p>
        </w:tc>
      </w:tr>
      <w:tr>
        <w:trPr>
          <w:cantSplit/>
        </w:trPr>
        <w:tc>
          <w:tcPr>
            <w:tcW w:type="dxa" w:w="2448"/>
            <w:shd w:fill="F2F2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center"/>
          </w:tcPr>
          <w:p>
            <w:pPr>
              <w:spacing w:after="0"/>
              <w:jc w:val="left"/>
            </w:pPr>
            <w:r>
              <w:rPr>
                <w:rFonts w:ascii="Cambria" w:hAnsi="Cambria" w:eastAsia="Cambria"/>
                <w:sz w:val="16"/>
              </w:rPr>
              <w:t>Additive cumulative return</w:t>
            </w:r>
          </w:p>
        </w:tc>
        <w:tc>
          <w:tcPr>
            <w:tcW w:type="dxa" w:w="7128"/>
            <w:shd w:fill="F2F2F2"/>
            <w:tcBorders>
              <w:top w:val="single" w:sz="4" w:space="0" w:color="B7C9D6"/>
              <w:left w:val="single" w:sz="4" w:space="0" w:color="B7C9D6"/>
              <w:bottom w:val="single" w:sz="4" w:space="0" w:color="B7C9D6"/>
              <w:right w:val="single" w:sz="4" w:space="0" w:color="B7C9D6"/>
              <w:insideH w:val="single" w:sz="4" w:space="0" w:color="B7C9D6"/>
              <w:insideV w:val="single" w:sz="4" w:space="0" w:color="B7C9D6"/>
            </w:tcBorders>
            <w:tcMar>
              <w:top w:w="70" w:type="dxa"/>
              <w:start w:w="90" w:type="dxa"/>
              <w:bottom w:w="70" w:type="dxa"/>
              <w:end w:w="90" w:type="dxa"/>
            </w:tcMar>
            <w:vAlign w:val="center"/>
          </w:tcPr>
          <w:p>
            <w:pPr>
              <w:spacing w:after="0"/>
              <w:jc w:val="left"/>
            </w:pPr>
            <w:r>
              <w:rPr>
                <w:rFonts w:ascii="Cambria" w:hAnsi="Cambria" w:eastAsia="Cambria"/>
                <w:sz w:val="16"/>
              </w:rPr>
              <w:t>Sum of capacity-weighted daily portfolio returns; it assumes capital is reused across sequential opportunities.</w:t>
            </w:r>
          </w:p>
        </w:tc>
      </w:tr>
    </w:tbl>
    <w:p>
      <w:pPr>
        <w:spacing w:after="0"/>
      </w:pPr>
    </w:p>
    <w:p>
      <w:pPr>
        <w:pStyle w:val="Compact"/>
        <w:jc w:val="both"/>
      </w:pPr>
      <w:r>
        <w:t>All reported figures correspond to the updated local licensed-data run. Small differences may appear after rerunning with revised Bloomberg, SEC, or CRSP inputs. The repository README defines the canonical execution order and the material manifest identifies the exact source file for each reported metric.</w:t>
      </w:r>
    </w:p>
    <w:sectPr w:rsidR="00F343DC">
      <w:footerReference w:type="default" r:id="rId7"/>
      <w:footnotePr>
        <w:numRestart w:val="eachSect"/>
      </w:footnotePr>
      <w:pgSz w:w="12240" w:h="15840"/>
      <w:pgMar w:top="1123" w:right="1181" w:bottom="1037" w:left="1181" w:header="432" w:footer="504"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modern"/>
    <w:pitch w:val="fixed"/>
    <w:sig w:usb0="00000001" w:usb1="080E0000" w:usb2="00000010" w:usb3="00000000" w:csb0="00040000"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roman"/>
    <w:notTrueType/>
    <w:pitch w:val="default"/>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mbria" w:hAnsi="Cambria" w:eastAsia="Cambria"/>
        <w:color w:val="7F7F7F"/>
        <w:sz w:val="16"/>
      </w:rPr>
      <w:fldChar w:fldCharType="begin"/>
      <w:instrText xml:space="preserve"> PAGE </w:instrText>
      <w:fldChar w:fldCharType="end"/>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157CBA5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C2D293F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903687052">
    <w:abstractNumId w:val="0"/>
  </w:num>
  <w:num w:numId="2" w16cid:durableId="156221227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14589698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2"/>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F343DC"/>
    <w:rsid w:val="001C7D04"/>
    <w:rsid w:val="0078181A"/>
    <w:rsid w:val="0088175D"/>
    <w:rsid w:val="0099738F"/>
    <w:rsid w:val="00C306A0"/>
    <w:rsid w:val="00F343D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33"/>
    <o:shapelayout v:ext="edit">
      <o:idmap v:ext="edit" data="1"/>
    </o:shapelayout>
  </w:shapeDefaults>
  <w:decimalSymbol w:val="."/>
  <w:listSeparator w:val=","/>
  <w14:docId w14:val="08F92862"/>
  <w15:docId w15:val="{388513CB-9612-3C4B-BDD3-7C76C83004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spacing w:after="100" w:line="259" w:lineRule="auto"/>
    </w:pPr>
    <w:rPr>
      <w:rFonts w:ascii="Cambria" w:hAnsi="Cambria" w:eastAsia="Cambria"/>
      <w:sz w:val="20"/>
    </w:rPr>
  </w:style>
  <w:style w:type="paragraph" w:styleId="Heading1">
    <w:name w:val="heading 1"/>
    <w:basedOn w:val="Normal"/>
    <w:next w:val="BodyText"/>
    <w:link w:val="Heading1Char"/>
    <w:uiPriority w:val="9"/>
    <w:qFormat/>
    <w:rsid w:val="00A10FD9"/>
    <w:pPr>
      <w:keepNext/>
      <w:keepLines/>
      <w:spacing w:before="280" w:after="160"/>
      <w:outlineLvl w:val="0"/>
    </w:pPr>
    <w:rPr>
      <w:rFonts w:asciiTheme="majorHAnsi" w:eastAsiaTheme="majorEastAsia" w:hAnsiTheme="majorHAnsi" w:cstheme="majorBidi" w:ascii="Aptos Display" w:hAnsi="Aptos Display" w:eastAsia="Aptos Display"/>
      <w:color w:val="0F4761"/>
      <w:sz w:val="48"/>
      <w:szCs w:val="40"/>
    </w:rPr>
  </w:style>
  <w:style w:type="paragraph" w:styleId="Heading2">
    <w:name w:val="heading 2"/>
    <w:basedOn w:val="Normal"/>
    <w:next w:val="BodyText"/>
    <w:link w:val="Heading2Char"/>
    <w:uiPriority w:val="9"/>
    <w:semiHidden/>
    <w:unhideWhenUsed/>
    <w:qFormat/>
    <w:rsid w:val="00A10FD9"/>
    <w:pPr>
      <w:keepNext/>
      <w:keepLines/>
      <w:spacing w:before="240" w:after="100"/>
      <w:outlineLvl w:val="1"/>
    </w:pPr>
    <w:rPr>
      <w:rFonts w:asciiTheme="majorHAnsi" w:eastAsiaTheme="majorEastAsia" w:hAnsiTheme="majorHAnsi" w:cstheme="majorBidi" w:ascii="Aptos Display" w:hAnsi="Aptos Display" w:eastAsia="Aptos Display"/>
      <w:color w:val="0F4761"/>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60"/>
      <w:outlineLvl w:val="2"/>
    </w:pPr>
    <w:rPr>
      <w:rFonts w:eastAsiaTheme="majorEastAsia" w:cstheme="majorBidi" w:ascii="Aptos Display" w:hAnsi="Aptos Display" w:eastAsia="Aptos Display"/>
      <w:color w:val="0F4761"/>
      <w:sz w:val="25"/>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widowControl/>
      <w:spacing w:before="180" w:after="100" w:line="259" w:lineRule="auto"/>
    </w:pPr>
    <w:rPr>
      <w:rFonts w:ascii="Cambria" w:hAnsi="Cambria" w:eastAsia="Cambria"/>
      <w:sz w:val="20"/>
    </w:rPr>
  </w:style>
  <w:style w:type="paragraph" w:customStyle="1" w:styleId="FirstParagraph">
    <w:name w:val="First Paragraph"/>
    <w:basedOn w:val="BodyText"/>
    <w:next w:val="BodyText"/>
    <w:qFormat/>
    <w:pPr>
      <w:widowControl/>
      <w:spacing w:after="100" w:line="259" w:lineRule="auto"/>
    </w:pPr>
    <w:rPr>
      <w:rFonts w:ascii="Cambria" w:hAnsi="Cambria" w:eastAsia="Cambria"/>
      <w:sz w:val="20"/>
    </w:rPr>
  </w:style>
  <w:style w:type="paragraph" w:customStyle="1" w:styleId="Compact">
    <w:name w:val="Compact"/>
    <w:basedOn w:val="BodyText"/>
    <w:qFormat/>
    <w:pPr>
      <w:spacing w:before="36" w:after="50" w:line="240" w:lineRule="auto"/>
    </w:pPr>
    <w:rPr>
      <w:rFonts w:ascii="Cambria" w:hAnsi="Cambria" w:eastAsia="Cambria"/>
      <w:sz w:val="18"/>
    </w:r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00"/>
      <w:jc w:val="center"/>
    </w:pPr>
    <w:rPr>
      <w:rFonts w:ascii="Cambria" w:hAnsi="Cambria" w:eastAsia="Cambria"/>
      <w:i/>
      <w:color w:val="404040"/>
      <w:sz w:val="17"/>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Footer">
    <w:name w:val="footer"/>
    <w:basedOn w:val="Normal"/>
    <w:link w:val="FooterChar"/>
    <w:rsid w:val="0078181A"/>
    <w:pPr>
      <w:tabs>
        <w:tab w:val="center" w:pos="4680"/>
        <w:tab w:val="right" w:pos="9360"/>
      </w:tabs>
      <w:spacing w:after="0"/>
    </w:pPr>
  </w:style>
  <w:style w:type="character" w:customStyle="1" w:styleId="FooterChar">
    <w:name w:val="Footer Char"/>
    <w:basedOn w:val="DefaultParagraphFont"/>
    <w:link w:val="Footer"/>
    <w:rsid w:val="0078181A"/>
  </w:style>
  <w:style w:type="character" w:styleId="PageNumber">
    <w:name w:val="page number"/>
    <w:basedOn w:val="DefaultParagraphFont"/>
    <w:rsid w:val="0078181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6</Pages>
  <Words>2210</Words>
  <Characters>12601</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Alvin Yu</cp:lastModifiedBy>
  <cp:revision>2</cp:revision>
  <dcterms:created xsi:type="dcterms:W3CDTF">2026-07-29T09:36:00Z</dcterms:created>
  <dcterms:modified xsi:type="dcterms:W3CDTF">2026-07-29T23:58:00Z</dcterms:modified>
</cp:coreProperties>
</file>